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C5" w:rsidRDefault="00F9570B" w:rsidP="00F9570B">
      <w:pPr>
        <w:pStyle w:val="Heading1"/>
        <w:rPr>
          <w:i/>
        </w:rPr>
      </w:pPr>
      <w:bookmarkStart w:id="0" w:name="_GoBack"/>
      <w:bookmarkEnd w:id="0"/>
      <w:r>
        <w:t xml:space="preserve">Web Appendices for Baumberg (2012) in </w:t>
      </w:r>
      <w:r>
        <w:rPr>
          <w:i/>
        </w:rPr>
        <w:t>Journal of Poverty and Social Justice</w:t>
      </w:r>
    </w:p>
    <w:p w:rsidR="00F9570B" w:rsidRDefault="00FB18D3" w:rsidP="00FB18D3">
      <w:pPr>
        <w:tabs>
          <w:tab w:val="left" w:pos="936"/>
        </w:tabs>
      </w:pPr>
      <w:r>
        <w:t>The article refers to the appendices for three analyses, all of which use the publicly available British Social Attitudes datasets from the UK Data Service (weighted using the supplied weight WTFACTOR).</w:t>
      </w:r>
      <w:r w:rsidR="00826B96">
        <w:t xml:space="preserve">  Following standard academic practice, although unlike the policy in the British Social Attitudes reports themselves, missing data is excluded from the displayed percentages – see the BSA reports for an analysis that also takes into account changing item non-response (refusal / don’t knows) over time.</w:t>
      </w:r>
    </w:p>
    <w:p w:rsidR="00826B96" w:rsidRDefault="00826B96" w:rsidP="00826B96">
      <w:pPr>
        <w:pStyle w:val="Heading2"/>
      </w:pPr>
      <w:r>
        <w:t>Figure 1</w:t>
      </w:r>
    </w:p>
    <w:p w:rsidR="00826B96" w:rsidRPr="00A66953" w:rsidRDefault="00826B96" w:rsidP="00826B9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note under Figure 1 in the text notes, </w:t>
      </w:r>
      <w:r w:rsidRPr="00826B96">
        <w:rPr>
          <w:rFonts w:ascii="Calibri" w:hAnsi="Calibri" w:cs="Calibri"/>
          <w:i/>
          <w:sz w:val="22"/>
          <w:szCs w:val="22"/>
        </w:rPr>
        <w:t>“</w:t>
      </w:r>
      <w:r w:rsidRPr="00826B96">
        <w:rPr>
          <w:rFonts w:ascii="Calibri" w:hAnsi="Calibri" w:cs="Calibri"/>
          <w:i/>
          <w:sz w:val="22"/>
          <w:szCs w:val="22"/>
        </w:rPr>
        <w:t>Source: author’s analysis of British Social Attitudes data, accessed via the UK Data Archive (details on</w:t>
      </w:r>
      <w:r w:rsidRPr="00826B96">
        <w:rPr>
          <w:rFonts w:ascii="Calibri" w:hAnsi="Calibri" w:cs="Calibri"/>
          <w:i/>
          <w:sz w:val="22"/>
          <w:szCs w:val="22"/>
        </w:rPr>
        <w:t xml:space="preserve"> </w:t>
      </w:r>
      <w:r w:rsidRPr="00826B96">
        <w:rPr>
          <w:rFonts w:ascii="Calibri" w:hAnsi="Calibri" w:cs="Calibri"/>
          <w:i/>
          <w:sz w:val="22"/>
          <w:szCs w:val="22"/>
        </w:rPr>
        <w:t>variables, weights etc. are given in the Web Appendix).</w:t>
      </w:r>
      <w:r w:rsidRPr="00826B96">
        <w:rPr>
          <w:rFonts w:ascii="Calibri" w:hAnsi="Calibri" w:cs="Calibri"/>
          <w:i/>
          <w:sz w:val="22"/>
          <w:szCs w:val="22"/>
        </w:rPr>
        <w:t>”</w:t>
      </w:r>
      <w:r w:rsidR="00A66953">
        <w:rPr>
          <w:rFonts w:ascii="Calibri" w:hAnsi="Calibri" w:cs="Calibri"/>
          <w:i/>
          <w:sz w:val="22"/>
          <w:szCs w:val="22"/>
        </w:rPr>
        <w:t xml:space="preserve">  </w:t>
      </w:r>
      <w:r w:rsidR="00A66953">
        <w:rPr>
          <w:rFonts w:ascii="Calibri" w:hAnsi="Calibri" w:cs="Calibri"/>
          <w:sz w:val="22"/>
          <w:szCs w:val="22"/>
        </w:rPr>
        <w:t>Details of the two variables are given in this section.</w:t>
      </w:r>
    </w:p>
    <w:p w:rsidR="00826B96" w:rsidRDefault="00826B96" w:rsidP="00826B96">
      <w:pPr>
        <w:pStyle w:val="NormalWeb"/>
        <w:spacing w:before="0" w:beforeAutospacing="0" w:after="0" w:afterAutospacing="0"/>
        <w:rPr>
          <w:rFonts w:ascii="Calibri" w:hAnsi="Calibri" w:cs="Calibri"/>
          <w:sz w:val="22"/>
          <w:szCs w:val="22"/>
        </w:rPr>
      </w:pPr>
    </w:p>
    <w:p w:rsidR="00A66953" w:rsidRDefault="00A66953" w:rsidP="00826B96">
      <w:pPr>
        <w:pStyle w:val="NormalWeb"/>
        <w:spacing w:before="0" w:beforeAutospacing="0" w:after="0" w:afterAutospacing="0"/>
        <w:rPr>
          <w:rFonts w:ascii="Calibri" w:hAnsi="Calibri" w:cs="Calibri"/>
          <w:sz w:val="22"/>
          <w:szCs w:val="22"/>
        </w:rPr>
      </w:pPr>
      <w:r>
        <w:rPr>
          <w:rFonts w:ascii="Calibri" w:hAnsi="Calibri" w:cs="Calibri"/>
          <w:sz w:val="22"/>
          <w:szCs w:val="22"/>
        </w:rPr>
        <w:t>The variable labelled ‘Many claim falsely (agree)’ in the Figure is the variable FALSECLM in the dataset, based on the following question:</w:t>
      </w:r>
    </w:p>
    <w:p w:rsidR="00A66953" w:rsidRPr="00A66953" w:rsidRDefault="00A66953" w:rsidP="00A66953">
      <w:pPr>
        <w:pStyle w:val="NormalWeb"/>
        <w:spacing w:after="0"/>
        <w:ind w:left="720"/>
        <w:rPr>
          <w:rFonts w:ascii="Calibri" w:hAnsi="Calibri" w:cs="Calibri"/>
          <w:i/>
          <w:sz w:val="22"/>
          <w:szCs w:val="22"/>
        </w:rPr>
      </w:pPr>
      <w:r w:rsidRPr="00A66953">
        <w:rPr>
          <w:rFonts w:ascii="Calibri" w:hAnsi="Calibri" w:cs="Calibri"/>
          <w:i/>
          <w:sz w:val="22"/>
          <w:szCs w:val="22"/>
        </w:rPr>
        <w:t xml:space="preserve">I will read two statements. For each one please say whether you agree or disagree. </w:t>
      </w:r>
      <w:proofErr w:type="gramStart"/>
      <w:r w:rsidRPr="00A66953">
        <w:rPr>
          <w:rFonts w:ascii="Calibri" w:hAnsi="Calibri" w:cs="Calibri"/>
          <w:i/>
          <w:sz w:val="22"/>
          <w:szCs w:val="22"/>
        </w:rPr>
        <w:t>Firstly...</w:t>
      </w:r>
      <w:proofErr w:type="gramEnd"/>
      <w:r w:rsidRPr="00A66953">
        <w:rPr>
          <w:rFonts w:ascii="Calibri" w:hAnsi="Calibri" w:cs="Calibri"/>
          <w:i/>
          <w:sz w:val="22"/>
          <w:szCs w:val="22"/>
        </w:rPr>
        <w:t xml:space="preserve"> Large numbers of people these days falsely claim benefits. IF AGREE OR DISAGREE: Strongly or slightly?</w:t>
      </w:r>
    </w:p>
    <w:p w:rsidR="00A66953" w:rsidRDefault="00A66953" w:rsidP="00A66953">
      <w:pPr>
        <w:pStyle w:val="NormalWeb"/>
        <w:spacing w:before="0" w:beforeAutospacing="0" w:after="0" w:afterAutospacing="0"/>
        <w:ind w:left="720"/>
        <w:rPr>
          <w:rFonts w:ascii="Calibri" w:hAnsi="Calibri" w:cs="Calibri"/>
          <w:i/>
          <w:sz w:val="22"/>
          <w:szCs w:val="22"/>
        </w:rPr>
      </w:pPr>
      <w:r>
        <w:rPr>
          <w:rFonts w:ascii="Calibri" w:hAnsi="Calibri" w:cs="Calibri"/>
          <w:i/>
          <w:sz w:val="22"/>
          <w:szCs w:val="22"/>
        </w:rPr>
        <w:t xml:space="preserve">Response options: </w:t>
      </w:r>
    </w:p>
    <w:p w:rsidR="00A66953" w:rsidRPr="00A66953" w:rsidRDefault="00A66953" w:rsidP="00A66953">
      <w:pPr>
        <w:pStyle w:val="NormalWeb"/>
        <w:spacing w:before="0" w:beforeAutospacing="0" w:after="0" w:afterAutospacing="0"/>
        <w:ind w:left="720"/>
        <w:rPr>
          <w:rFonts w:ascii="Calibri" w:hAnsi="Calibri" w:cs="Calibri"/>
          <w:i/>
          <w:sz w:val="22"/>
          <w:szCs w:val="22"/>
        </w:rPr>
      </w:pPr>
      <w:r w:rsidRPr="00A66953">
        <w:rPr>
          <w:rFonts w:ascii="Calibri" w:hAnsi="Calibri" w:cs="Calibri"/>
          <w:i/>
          <w:sz w:val="22"/>
          <w:szCs w:val="22"/>
        </w:rPr>
        <w:t>1</w:t>
      </w:r>
      <w:r w:rsidRPr="00A66953">
        <w:rPr>
          <w:rFonts w:ascii="Calibri" w:hAnsi="Calibri" w:cs="Calibri"/>
          <w:i/>
          <w:sz w:val="22"/>
          <w:szCs w:val="22"/>
        </w:rPr>
        <w:tab/>
        <w:t>Agree strongly</w:t>
      </w:r>
    </w:p>
    <w:p w:rsidR="00A66953" w:rsidRPr="00A66953" w:rsidRDefault="00A66953" w:rsidP="00A66953">
      <w:pPr>
        <w:pStyle w:val="NormalWeb"/>
        <w:spacing w:before="0" w:beforeAutospacing="0" w:after="0" w:afterAutospacing="0"/>
        <w:ind w:left="720"/>
        <w:rPr>
          <w:rFonts w:ascii="Calibri" w:hAnsi="Calibri" w:cs="Calibri"/>
          <w:i/>
          <w:sz w:val="22"/>
          <w:szCs w:val="22"/>
        </w:rPr>
      </w:pPr>
      <w:r w:rsidRPr="00A66953">
        <w:rPr>
          <w:rFonts w:ascii="Calibri" w:hAnsi="Calibri" w:cs="Calibri"/>
          <w:i/>
          <w:sz w:val="22"/>
          <w:szCs w:val="22"/>
        </w:rPr>
        <w:t>2</w:t>
      </w:r>
      <w:r w:rsidRPr="00A66953">
        <w:rPr>
          <w:rFonts w:ascii="Calibri" w:hAnsi="Calibri" w:cs="Calibri"/>
          <w:i/>
          <w:sz w:val="22"/>
          <w:szCs w:val="22"/>
        </w:rPr>
        <w:tab/>
        <w:t>Agree slightly</w:t>
      </w:r>
    </w:p>
    <w:p w:rsidR="00A66953" w:rsidRPr="00A66953" w:rsidRDefault="00A66953" w:rsidP="00A66953">
      <w:pPr>
        <w:pStyle w:val="NormalWeb"/>
        <w:spacing w:before="0" w:beforeAutospacing="0" w:after="0" w:afterAutospacing="0"/>
        <w:ind w:left="720"/>
        <w:rPr>
          <w:rFonts w:ascii="Calibri" w:hAnsi="Calibri" w:cs="Calibri"/>
          <w:i/>
          <w:sz w:val="22"/>
          <w:szCs w:val="22"/>
        </w:rPr>
      </w:pPr>
      <w:r w:rsidRPr="00A66953">
        <w:rPr>
          <w:rFonts w:ascii="Calibri" w:hAnsi="Calibri" w:cs="Calibri"/>
          <w:i/>
          <w:sz w:val="22"/>
          <w:szCs w:val="22"/>
        </w:rPr>
        <w:t>3</w:t>
      </w:r>
      <w:r w:rsidRPr="00A66953">
        <w:rPr>
          <w:rFonts w:ascii="Calibri" w:hAnsi="Calibri" w:cs="Calibri"/>
          <w:i/>
          <w:sz w:val="22"/>
          <w:szCs w:val="22"/>
        </w:rPr>
        <w:tab/>
        <w:t>Disagree slightly</w:t>
      </w:r>
    </w:p>
    <w:p w:rsidR="00A66953" w:rsidRPr="00A66953" w:rsidRDefault="00A66953" w:rsidP="00A66953">
      <w:pPr>
        <w:pStyle w:val="NormalWeb"/>
        <w:spacing w:before="0" w:beforeAutospacing="0" w:after="0" w:afterAutospacing="0"/>
        <w:ind w:left="720"/>
        <w:rPr>
          <w:rFonts w:ascii="Calibri" w:hAnsi="Calibri" w:cs="Calibri"/>
          <w:i/>
          <w:sz w:val="22"/>
          <w:szCs w:val="22"/>
        </w:rPr>
      </w:pPr>
      <w:r w:rsidRPr="00A66953">
        <w:rPr>
          <w:rFonts w:ascii="Calibri" w:hAnsi="Calibri" w:cs="Calibri"/>
          <w:i/>
          <w:sz w:val="22"/>
          <w:szCs w:val="22"/>
        </w:rPr>
        <w:t>4</w:t>
      </w:r>
      <w:r w:rsidRPr="00A66953">
        <w:rPr>
          <w:rFonts w:ascii="Calibri" w:hAnsi="Calibri" w:cs="Calibri"/>
          <w:i/>
          <w:sz w:val="22"/>
          <w:szCs w:val="22"/>
        </w:rPr>
        <w:tab/>
        <w:t>Disagree strongly</w:t>
      </w:r>
    </w:p>
    <w:p w:rsidR="00A66953" w:rsidRDefault="00A66953" w:rsidP="00826B96">
      <w:pPr>
        <w:pStyle w:val="NormalWeb"/>
        <w:spacing w:before="0" w:beforeAutospacing="0" w:after="0" w:afterAutospacing="0"/>
        <w:rPr>
          <w:rFonts w:ascii="Calibri" w:hAnsi="Calibri" w:cs="Calibri"/>
          <w:sz w:val="22"/>
          <w:szCs w:val="22"/>
        </w:rPr>
      </w:pPr>
    </w:p>
    <w:p w:rsidR="00A66953" w:rsidRDefault="00A66953" w:rsidP="00A66953">
      <w:pPr>
        <w:pStyle w:val="NormalWeb"/>
        <w:spacing w:after="0"/>
        <w:rPr>
          <w:rFonts w:ascii="Calibri" w:hAnsi="Calibri" w:cs="Calibri"/>
          <w:sz w:val="22"/>
          <w:szCs w:val="22"/>
        </w:rPr>
      </w:pPr>
      <w:r>
        <w:rPr>
          <w:rFonts w:ascii="Calibri" w:hAnsi="Calibri" w:cs="Calibri"/>
          <w:sz w:val="22"/>
          <w:szCs w:val="22"/>
        </w:rPr>
        <w:t>The variable labelled ‘</w:t>
      </w:r>
      <w:r w:rsidRPr="00A66953">
        <w:rPr>
          <w:rFonts w:ascii="Calibri" w:hAnsi="Calibri" w:cs="Calibri"/>
          <w:sz w:val="22"/>
          <w:szCs w:val="22"/>
        </w:rPr>
        <w:t>Unemployment</w:t>
      </w:r>
      <w:r>
        <w:rPr>
          <w:rFonts w:ascii="Calibri" w:hAnsi="Calibri" w:cs="Calibri"/>
          <w:sz w:val="22"/>
          <w:szCs w:val="22"/>
        </w:rPr>
        <w:t xml:space="preserve"> </w:t>
      </w:r>
      <w:r w:rsidRPr="00A66953">
        <w:rPr>
          <w:rFonts w:ascii="Calibri" w:hAnsi="Calibri" w:cs="Calibri"/>
          <w:sz w:val="22"/>
          <w:szCs w:val="22"/>
        </w:rPr>
        <w:t>benefits too</w:t>
      </w:r>
      <w:r>
        <w:rPr>
          <w:rFonts w:ascii="Calibri" w:hAnsi="Calibri" w:cs="Calibri"/>
          <w:sz w:val="22"/>
          <w:szCs w:val="22"/>
        </w:rPr>
        <w:t xml:space="preserve"> </w:t>
      </w:r>
      <w:r w:rsidRPr="00A66953">
        <w:rPr>
          <w:rFonts w:ascii="Calibri" w:hAnsi="Calibri" w:cs="Calibri"/>
          <w:sz w:val="22"/>
          <w:szCs w:val="22"/>
        </w:rPr>
        <w:t>high and</w:t>
      </w:r>
      <w:r>
        <w:rPr>
          <w:rFonts w:ascii="Calibri" w:hAnsi="Calibri" w:cs="Calibri"/>
          <w:sz w:val="22"/>
          <w:szCs w:val="22"/>
        </w:rPr>
        <w:t xml:space="preserve"> </w:t>
      </w:r>
      <w:r w:rsidRPr="00A66953">
        <w:rPr>
          <w:rFonts w:ascii="Calibri" w:hAnsi="Calibri" w:cs="Calibri"/>
          <w:sz w:val="22"/>
          <w:szCs w:val="22"/>
        </w:rPr>
        <w:t>discourage work</w:t>
      </w:r>
      <w:r>
        <w:rPr>
          <w:rFonts w:ascii="Calibri" w:hAnsi="Calibri" w:cs="Calibri"/>
          <w:sz w:val="22"/>
          <w:szCs w:val="22"/>
        </w:rPr>
        <w:t xml:space="preserve"> (agree)’ is the variable DOLE, based on the following question:</w:t>
      </w:r>
    </w:p>
    <w:p w:rsidR="00A66953" w:rsidRPr="00A66953" w:rsidRDefault="00A66953" w:rsidP="00A66953">
      <w:pPr>
        <w:pStyle w:val="NormalWeb"/>
        <w:spacing w:before="0" w:beforeAutospacing="0" w:after="0" w:afterAutospacing="0"/>
        <w:ind w:left="720"/>
        <w:rPr>
          <w:rFonts w:ascii="Calibri" w:hAnsi="Calibri" w:cs="Calibri"/>
          <w:i/>
          <w:sz w:val="22"/>
          <w:szCs w:val="22"/>
        </w:rPr>
      </w:pPr>
      <w:r w:rsidRPr="00A66953">
        <w:rPr>
          <w:rFonts w:ascii="Calibri" w:hAnsi="Calibri" w:cs="Calibri"/>
          <w:i/>
          <w:sz w:val="22"/>
          <w:szCs w:val="22"/>
        </w:rPr>
        <w:t xml:space="preserve">Opinions differ about the level of benefits for unemployed people. </w:t>
      </w:r>
      <w:proofErr w:type="gramStart"/>
      <w:r w:rsidRPr="00A66953">
        <w:rPr>
          <w:rFonts w:ascii="Calibri" w:hAnsi="Calibri" w:cs="Calibri"/>
          <w:i/>
          <w:sz w:val="22"/>
          <w:szCs w:val="22"/>
        </w:rPr>
        <w:t xml:space="preserve">Which of these two statements comes closest to your own view </w:t>
      </w:r>
      <w:r>
        <w:rPr>
          <w:rFonts w:ascii="Calibri" w:hAnsi="Calibri" w:cs="Calibri"/>
          <w:i/>
          <w:sz w:val="22"/>
          <w:szCs w:val="22"/>
        </w:rPr>
        <w:t xml:space="preserve"> </w:t>
      </w:r>
      <w:r w:rsidRPr="00A66953">
        <w:rPr>
          <w:rFonts w:ascii="Calibri" w:hAnsi="Calibri" w:cs="Calibri"/>
          <w:i/>
          <w:sz w:val="22"/>
          <w:szCs w:val="22"/>
        </w:rPr>
        <w:t>...READ OUT...</w:t>
      </w:r>
      <w:proofErr w:type="gramEnd"/>
    </w:p>
    <w:p w:rsidR="00A66953" w:rsidRPr="00A66953" w:rsidRDefault="00A66953" w:rsidP="00A66953">
      <w:pPr>
        <w:pStyle w:val="NormalWeb"/>
        <w:spacing w:before="0" w:beforeAutospacing="0" w:after="0" w:afterAutospacing="0"/>
        <w:ind w:left="720" w:firstLine="720"/>
        <w:rPr>
          <w:rFonts w:ascii="Calibri" w:hAnsi="Calibri" w:cs="Calibri"/>
          <w:i/>
          <w:sz w:val="22"/>
          <w:szCs w:val="22"/>
        </w:rPr>
      </w:pPr>
      <w:r w:rsidRPr="00A66953">
        <w:rPr>
          <w:rFonts w:ascii="Calibri" w:hAnsi="Calibri" w:cs="Calibri"/>
          <w:i/>
          <w:sz w:val="22"/>
          <w:szCs w:val="22"/>
        </w:rPr>
        <w:t>1</w:t>
      </w:r>
      <w:r w:rsidRPr="00A66953">
        <w:rPr>
          <w:rFonts w:ascii="Calibri" w:hAnsi="Calibri" w:cs="Calibri"/>
          <w:i/>
          <w:sz w:val="22"/>
          <w:szCs w:val="22"/>
        </w:rPr>
        <w:tab/>
        <w:t>...benefits for unemployed people are too low and cause hardship,</w:t>
      </w:r>
    </w:p>
    <w:p w:rsidR="00A66953" w:rsidRDefault="00A66953" w:rsidP="00A66953">
      <w:pPr>
        <w:pStyle w:val="NormalWeb"/>
        <w:spacing w:before="0" w:beforeAutospacing="0" w:after="0" w:afterAutospacing="0"/>
        <w:ind w:left="1440"/>
        <w:rPr>
          <w:rFonts w:ascii="Calibri" w:hAnsi="Calibri" w:cs="Calibri"/>
          <w:i/>
          <w:sz w:val="22"/>
          <w:szCs w:val="22"/>
        </w:rPr>
      </w:pPr>
      <w:r w:rsidRPr="00A66953">
        <w:rPr>
          <w:rFonts w:ascii="Calibri" w:hAnsi="Calibri" w:cs="Calibri"/>
          <w:i/>
          <w:sz w:val="22"/>
          <w:szCs w:val="22"/>
        </w:rPr>
        <w:t>2</w:t>
      </w:r>
      <w:r w:rsidRPr="00A66953">
        <w:rPr>
          <w:rFonts w:ascii="Calibri" w:hAnsi="Calibri" w:cs="Calibri"/>
          <w:i/>
          <w:sz w:val="22"/>
          <w:szCs w:val="22"/>
        </w:rPr>
        <w:tab/>
        <w:t>or, benefits for unemployed people are too high and discourage them from finding jobs?</w:t>
      </w:r>
    </w:p>
    <w:p w:rsidR="00A66953" w:rsidRDefault="00A66953" w:rsidP="00A66953">
      <w:pPr>
        <w:pStyle w:val="NormalWeb"/>
        <w:spacing w:before="0" w:beforeAutospacing="0" w:after="0" w:afterAutospacing="0"/>
        <w:ind w:left="1440"/>
        <w:rPr>
          <w:rFonts w:ascii="Calibri" w:hAnsi="Calibri" w:cs="Calibri"/>
          <w:i/>
          <w:sz w:val="22"/>
          <w:szCs w:val="22"/>
        </w:rPr>
      </w:pPr>
      <w:r w:rsidRPr="00A66953">
        <w:rPr>
          <w:rFonts w:ascii="Calibri" w:hAnsi="Calibri" w:cs="Calibri"/>
          <w:i/>
          <w:sz w:val="22"/>
          <w:szCs w:val="22"/>
        </w:rPr>
        <w:t>3</w:t>
      </w:r>
      <w:r w:rsidRPr="00A66953">
        <w:rPr>
          <w:rFonts w:ascii="Calibri" w:hAnsi="Calibri" w:cs="Calibri"/>
          <w:i/>
          <w:sz w:val="22"/>
          <w:szCs w:val="22"/>
        </w:rPr>
        <w:tab/>
        <w:t>(Neither)</w:t>
      </w:r>
    </w:p>
    <w:p w:rsidR="00A66953" w:rsidRPr="00A66953" w:rsidRDefault="00A66953" w:rsidP="00A66953">
      <w:pPr>
        <w:pStyle w:val="NormalWeb"/>
        <w:spacing w:before="0" w:beforeAutospacing="0" w:after="0" w:afterAutospacing="0"/>
        <w:ind w:left="1440"/>
        <w:rPr>
          <w:rFonts w:ascii="Calibri" w:hAnsi="Calibri" w:cs="Calibri"/>
          <w:i/>
          <w:sz w:val="22"/>
          <w:szCs w:val="22"/>
        </w:rPr>
      </w:pPr>
    </w:p>
    <w:p w:rsidR="00826B96" w:rsidRDefault="00826B96" w:rsidP="00826B96">
      <w:pPr>
        <w:pStyle w:val="Heading2"/>
      </w:pPr>
      <w:r>
        <w:t>Footnote 7</w:t>
      </w:r>
    </w:p>
    <w:p w:rsidR="00A66953" w:rsidRDefault="00A66953" w:rsidP="00A66953">
      <w:pPr>
        <w:pStyle w:val="NormalWeb"/>
        <w:spacing w:before="0" w:beforeAutospacing="0" w:after="0" w:afterAutospacing="0"/>
        <w:rPr>
          <w:rFonts w:ascii="Calibri" w:hAnsi="Calibri" w:cs="Calibri"/>
          <w:i/>
          <w:sz w:val="22"/>
          <w:szCs w:val="22"/>
        </w:rPr>
      </w:pPr>
      <w:r>
        <w:rPr>
          <w:rFonts w:ascii="Calibri" w:hAnsi="Calibri" w:cs="Calibri"/>
          <w:sz w:val="22"/>
          <w:szCs w:val="22"/>
        </w:rPr>
        <w:t xml:space="preserve">The text notes, </w:t>
      </w:r>
      <w:r w:rsidR="00826B96">
        <w:rPr>
          <w:rFonts w:ascii="Calibri" w:hAnsi="Calibri" w:cs="Calibri"/>
          <w:i/>
          <w:iCs/>
          <w:sz w:val="22"/>
          <w:szCs w:val="22"/>
        </w:rPr>
        <w:t>"before the crisis, the public thought that as many as 37 out of every 100</w:t>
      </w:r>
      <w:r>
        <w:rPr>
          <w:rFonts w:ascii="Calibri" w:hAnsi="Calibri" w:cs="Calibri"/>
          <w:i/>
          <w:iCs/>
          <w:sz w:val="22"/>
          <w:szCs w:val="22"/>
        </w:rPr>
        <w:t xml:space="preserve"> </w:t>
      </w:r>
      <w:r w:rsidR="00826B96">
        <w:rPr>
          <w:rFonts w:ascii="Calibri" w:hAnsi="Calibri" w:cs="Calibri"/>
          <w:i/>
          <w:iCs/>
          <w:sz w:val="22"/>
          <w:szCs w:val="22"/>
        </w:rPr>
        <w:t>sickness/claimants were falsely claiming</w:t>
      </w:r>
      <w:r>
        <w:rPr>
          <w:rFonts w:ascii="Calibri" w:hAnsi="Calibri" w:cs="Calibri"/>
          <w:i/>
          <w:iCs/>
          <w:sz w:val="22"/>
          <w:szCs w:val="22"/>
          <w:vertAlign w:val="superscript"/>
        </w:rPr>
        <w:t>7</w:t>
      </w:r>
      <w:r w:rsidR="00826B96">
        <w:rPr>
          <w:rFonts w:ascii="Calibri" w:hAnsi="Calibri" w:cs="Calibri"/>
          <w:i/>
          <w:iCs/>
          <w:sz w:val="22"/>
          <w:szCs w:val="22"/>
        </w:rPr>
        <w:t>"</w:t>
      </w:r>
      <w:r>
        <w:rPr>
          <w:rFonts w:ascii="Calibri" w:hAnsi="Calibri" w:cs="Calibri"/>
          <w:i/>
          <w:iCs/>
          <w:sz w:val="22"/>
          <w:szCs w:val="22"/>
        </w:rPr>
        <w:t xml:space="preserve">  </w:t>
      </w:r>
      <w:r>
        <w:rPr>
          <w:rFonts w:ascii="Calibri" w:hAnsi="Calibri" w:cs="Calibri"/>
          <w:iCs/>
          <w:sz w:val="22"/>
          <w:szCs w:val="22"/>
        </w:rPr>
        <w:t xml:space="preserve">Footnote 7 then said, </w:t>
      </w:r>
      <w:r w:rsidRPr="00A66953">
        <w:rPr>
          <w:rFonts w:ascii="Calibri" w:hAnsi="Calibri" w:cs="Calibri"/>
          <w:i/>
          <w:iCs/>
          <w:sz w:val="22"/>
          <w:szCs w:val="22"/>
        </w:rPr>
        <w:t>“</w:t>
      </w:r>
      <w:r w:rsidR="00826B96" w:rsidRPr="00A66953">
        <w:rPr>
          <w:rFonts w:ascii="Calibri" w:hAnsi="Calibri" w:cs="Calibri"/>
          <w:i/>
          <w:sz w:val="22"/>
          <w:szCs w:val="22"/>
        </w:rPr>
        <w:t>Author’s analysis of BSA 2007 data, accessed via the UK Data Archive (details on</w:t>
      </w:r>
      <w:r w:rsidRPr="00A66953">
        <w:rPr>
          <w:rFonts w:ascii="Calibri" w:hAnsi="Calibri" w:cs="Calibri"/>
          <w:i/>
          <w:sz w:val="22"/>
          <w:szCs w:val="22"/>
        </w:rPr>
        <w:t xml:space="preserve"> </w:t>
      </w:r>
      <w:r w:rsidR="00826B96" w:rsidRPr="00A66953">
        <w:rPr>
          <w:rFonts w:ascii="Calibri" w:hAnsi="Calibri" w:cs="Calibri"/>
          <w:i/>
          <w:sz w:val="22"/>
          <w:szCs w:val="22"/>
        </w:rPr>
        <w:t xml:space="preserve">variables, weights </w:t>
      </w:r>
      <w:proofErr w:type="spellStart"/>
      <w:r w:rsidR="00826B96" w:rsidRPr="00A66953">
        <w:rPr>
          <w:rFonts w:ascii="Calibri" w:hAnsi="Calibri" w:cs="Calibri"/>
          <w:i/>
          <w:sz w:val="22"/>
          <w:szCs w:val="22"/>
        </w:rPr>
        <w:t>etc</w:t>
      </w:r>
      <w:proofErr w:type="spellEnd"/>
      <w:r w:rsidR="00826B96" w:rsidRPr="00A66953">
        <w:rPr>
          <w:rFonts w:ascii="Calibri" w:hAnsi="Calibri" w:cs="Calibri"/>
          <w:i/>
          <w:sz w:val="22"/>
          <w:szCs w:val="22"/>
        </w:rPr>
        <w:t xml:space="preserve"> are given in the Web Appendix).</w:t>
      </w:r>
      <w:r w:rsidRPr="00A66953">
        <w:rPr>
          <w:rFonts w:ascii="Calibri" w:hAnsi="Calibri" w:cs="Calibri"/>
          <w:i/>
          <w:sz w:val="22"/>
          <w:szCs w:val="22"/>
        </w:rPr>
        <w:t>”</w:t>
      </w:r>
      <w:r>
        <w:rPr>
          <w:rFonts w:ascii="Calibri" w:hAnsi="Calibri" w:cs="Calibri"/>
          <w:i/>
          <w:sz w:val="22"/>
          <w:szCs w:val="22"/>
        </w:rPr>
        <w:t xml:space="preserve">  </w:t>
      </w:r>
    </w:p>
    <w:p w:rsidR="00A66953" w:rsidRDefault="00A66953" w:rsidP="00A66953">
      <w:pPr>
        <w:pStyle w:val="NormalWeb"/>
        <w:spacing w:before="0" w:beforeAutospacing="0" w:after="0" w:afterAutospacing="0"/>
        <w:rPr>
          <w:rFonts w:ascii="Calibri" w:hAnsi="Calibri" w:cs="Calibri"/>
          <w:i/>
          <w:sz w:val="22"/>
          <w:szCs w:val="22"/>
        </w:rPr>
      </w:pPr>
    </w:p>
    <w:p w:rsidR="00A66953" w:rsidRPr="00A66953" w:rsidRDefault="00A66953" w:rsidP="00A6695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These data have since been more fully analysed in the report Baumberg et al (2012), </w:t>
      </w:r>
      <w:r>
        <w:rPr>
          <w:rFonts w:ascii="Calibri" w:hAnsi="Calibri" w:cs="Calibri"/>
          <w:i/>
          <w:sz w:val="22"/>
          <w:szCs w:val="22"/>
        </w:rPr>
        <w:t>Benefits Stigma in Britain</w:t>
      </w:r>
      <w:r>
        <w:rPr>
          <w:rFonts w:ascii="Calibri" w:hAnsi="Calibri" w:cs="Calibri"/>
          <w:sz w:val="22"/>
          <w:szCs w:val="22"/>
        </w:rPr>
        <w:t xml:space="preserve">, page 29.  Please see </w:t>
      </w:r>
      <w:hyperlink r:id="rId5" w:history="1">
        <w:r w:rsidRPr="003C019F">
          <w:rPr>
            <w:rStyle w:val="Hyperlink"/>
            <w:rFonts w:ascii="Calibri" w:hAnsi="Calibri" w:cs="Calibri"/>
            <w:sz w:val="22"/>
            <w:szCs w:val="22"/>
          </w:rPr>
          <w:t>www.benbaumberg.com/publications</w:t>
        </w:r>
      </w:hyperlink>
      <w:r>
        <w:rPr>
          <w:rFonts w:ascii="Calibri" w:hAnsi="Calibri" w:cs="Calibri"/>
          <w:sz w:val="22"/>
          <w:szCs w:val="22"/>
        </w:rPr>
        <w:t xml:space="preserve"> for further details</w:t>
      </w:r>
      <w:r w:rsidR="009D7566">
        <w:rPr>
          <w:rFonts w:ascii="Calibri" w:hAnsi="Calibri" w:cs="Calibri"/>
          <w:sz w:val="22"/>
          <w:szCs w:val="22"/>
        </w:rPr>
        <w:t xml:space="preserve"> and links to the report and its own appendices</w:t>
      </w:r>
      <w:r>
        <w:rPr>
          <w:rFonts w:ascii="Calibri" w:hAnsi="Calibri" w:cs="Calibri"/>
          <w:sz w:val="22"/>
          <w:szCs w:val="22"/>
        </w:rPr>
        <w:t>.</w:t>
      </w:r>
    </w:p>
    <w:p w:rsidR="00826B96" w:rsidRDefault="00826B96" w:rsidP="00826B96">
      <w:pPr>
        <w:pStyle w:val="Heading2"/>
      </w:pPr>
      <w:r>
        <w:lastRenderedPageBreak/>
        <w:t>Footnote 8</w:t>
      </w:r>
    </w:p>
    <w:p w:rsidR="00826B96" w:rsidRDefault="009D7566" w:rsidP="009D756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text notes, </w:t>
      </w:r>
      <w:r w:rsidR="00826B96">
        <w:rPr>
          <w:rFonts w:ascii="Calibri" w:hAnsi="Calibri" w:cs="Calibri"/>
          <w:i/>
          <w:iCs/>
          <w:sz w:val="22"/>
          <w:szCs w:val="22"/>
        </w:rPr>
        <w:t>"Using the same data, but focusing on the belief that large numbers of people falsely claim benefits</w:t>
      </w:r>
      <w:proofErr w:type="gramStart"/>
      <w:r w:rsidR="00826B96">
        <w:rPr>
          <w:rFonts w:ascii="Calibri" w:hAnsi="Calibri" w:cs="Calibri"/>
          <w:i/>
          <w:iCs/>
          <w:sz w:val="22"/>
          <w:szCs w:val="22"/>
        </w:rPr>
        <w:t>,</w:t>
      </w:r>
      <w:r w:rsidR="00826B96" w:rsidRPr="009D7566">
        <w:rPr>
          <w:rFonts w:ascii="Calibri" w:hAnsi="Calibri" w:cs="Calibri"/>
          <w:i/>
          <w:iCs/>
          <w:sz w:val="22"/>
          <w:szCs w:val="22"/>
          <w:vertAlign w:val="superscript"/>
        </w:rPr>
        <w:t>8</w:t>
      </w:r>
      <w:proofErr w:type="gramEnd"/>
      <w:r w:rsidR="00826B96">
        <w:rPr>
          <w:rFonts w:ascii="Calibri" w:hAnsi="Calibri" w:cs="Calibri"/>
          <w:i/>
          <w:iCs/>
          <w:sz w:val="22"/>
          <w:szCs w:val="22"/>
        </w:rPr>
        <w:t xml:space="preserve"> I find that Labour identifiers were 12% more positive than non-Labour identifiers from 1983 to 1994, but only 6% more positive between 1998 and 2008. Similarly, the Labour versus non-Labour gap for believing that unemployment benefits are too low and cause hardship was 27% before 1997 and 11% after 1997."</w:t>
      </w:r>
      <w:r>
        <w:rPr>
          <w:rFonts w:ascii="Calibri" w:hAnsi="Calibri" w:cs="Calibri"/>
          <w:i/>
          <w:iCs/>
          <w:sz w:val="22"/>
          <w:szCs w:val="22"/>
        </w:rPr>
        <w:t xml:space="preserve">  </w:t>
      </w:r>
      <w:r>
        <w:rPr>
          <w:rFonts w:ascii="Calibri" w:hAnsi="Calibri" w:cs="Calibri"/>
          <w:iCs/>
          <w:sz w:val="22"/>
          <w:szCs w:val="22"/>
        </w:rPr>
        <w:t xml:space="preserve">Footnote 8 then says, </w:t>
      </w:r>
      <w:r w:rsidRPr="009D7566">
        <w:rPr>
          <w:rFonts w:ascii="Calibri" w:hAnsi="Calibri" w:cs="Calibri"/>
          <w:i/>
          <w:iCs/>
          <w:sz w:val="22"/>
          <w:szCs w:val="22"/>
        </w:rPr>
        <w:t>“</w:t>
      </w:r>
      <w:r w:rsidR="00826B96" w:rsidRPr="009D7566">
        <w:rPr>
          <w:rFonts w:ascii="Calibri" w:hAnsi="Calibri" w:cs="Calibri"/>
          <w:i/>
          <w:sz w:val="22"/>
          <w:szCs w:val="22"/>
        </w:rPr>
        <w:t xml:space="preserve">BSA data; further details available from the Web Appendix at </w:t>
      </w:r>
      <w:hyperlink r:id="rId6" w:history="1">
        <w:r w:rsidR="00826B96" w:rsidRPr="009D7566">
          <w:rPr>
            <w:rStyle w:val="Hyperlink"/>
            <w:rFonts w:ascii="Calibri" w:hAnsi="Calibri" w:cs="Calibri"/>
            <w:i/>
            <w:sz w:val="22"/>
            <w:szCs w:val="22"/>
          </w:rPr>
          <w:t>www.benbaumberg.com</w:t>
        </w:r>
      </w:hyperlink>
      <w:r w:rsidRPr="009D7566">
        <w:rPr>
          <w:rFonts w:ascii="Calibri" w:hAnsi="Calibri" w:cs="Calibri"/>
          <w:i/>
          <w:sz w:val="22"/>
          <w:szCs w:val="22"/>
        </w:rPr>
        <w:t>”</w:t>
      </w:r>
    </w:p>
    <w:p w:rsidR="00CF337A" w:rsidRDefault="00CF337A" w:rsidP="00A66953">
      <w:pPr>
        <w:pStyle w:val="NormalWeb"/>
        <w:spacing w:before="0" w:beforeAutospacing="0" w:after="0" w:afterAutospacing="0"/>
        <w:rPr>
          <w:rFonts w:ascii="Calibri" w:hAnsi="Calibri" w:cs="Calibri"/>
          <w:i/>
          <w:sz w:val="22"/>
          <w:szCs w:val="22"/>
        </w:rPr>
      </w:pPr>
    </w:p>
    <w:p w:rsidR="00CF337A" w:rsidRDefault="00CF337A" w:rsidP="00A66953">
      <w:pPr>
        <w:pStyle w:val="NormalWeb"/>
        <w:spacing w:before="0" w:beforeAutospacing="0" w:after="0" w:afterAutospacing="0"/>
        <w:rPr>
          <w:rFonts w:ascii="Calibri" w:hAnsi="Calibri" w:cs="Calibri"/>
          <w:sz w:val="22"/>
          <w:szCs w:val="22"/>
        </w:rPr>
      </w:pPr>
      <w:r w:rsidRPr="00CF337A">
        <w:rPr>
          <w:rFonts w:ascii="Calibri" w:hAnsi="Calibri" w:cs="Calibri"/>
          <w:sz w:val="22"/>
          <w:szCs w:val="22"/>
        </w:rPr>
        <w:t>The questions on perceptions of false claims and that unemployment benefits are too low are the same as described above.  The new part of the analysis is</w:t>
      </w:r>
      <w:r>
        <w:rPr>
          <w:rFonts w:ascii="Calibri" w:hAnsi="Calibri" w:cs="Calibri"/>
          <w:sz w:val="22"/>
          <w:szCs w:val="22"/>
        </w:rPr>
        <w:t xml:space="preserve"> the use of Labour vs. non-Labour identifiers.  This comes from the variable PARTYID2, a derived variable from the British Social Attitudes team supplied with the data, based on the following questions:</w:t>
      </w:r>
    </w:p>
    <w:p w:rsidR="00CF337A" w:rsidRDefault="00CF337A" w:rsidP="00A66953">
      <w:pPr>
        <w:pStyle w:val="NormalWeb"/>
        <w:spacing w:before="0" w:beforeAutospacing="0" w:after="0" w:afterAutospacing="0"/>
        <w:rPr>
          <w:rFonts w:ascii="Calibri" w:hAnsi="Calibri" w:cs="Calibri"/>
          <w:sz w:val="22"/>
          <w:szCs w:val="22"/>
        </w:rPr>
      </w:pPr>
    </w:p>
    <w:p w:rsidR="00CF337A" w:rsidRDefault="00CF337A" w:rsidP="00CF337A">
      <w:pPr>
        <w:pStyle w:val="NormalWeb"/>
        <w:spacing w:before="0" w:beforeAutospacing="0" w:after="0" w:afterAutospacing="0"/>
        <w:ind w:left="720"/>
        <w:rPr>
          <w:rFonts w:ascii="Calibri" w:hAnsi="Calibri" w:cs="Calibri"/>
          <w:i/>
          <w:sz w:val="22"/>
          <w:szCs w:val="22"/>
        </w:rPr>
      </w:pPr>
      <w:r w:rsidRPr="00CF337A">
        <w:rPr>
          <w:rFonts w:ascii="Calibri" w:hAnsi="Calibri" w:cs="Calibri"/>
          <w:i/>
          <w:sz w:val="22"/>
          <w:szCs w:val="22"/>
        </w:rPr>
        <w:t>SUPPARTY: Generally speaking, do you think of yourself as a supporter of any one political party?</w:t>
      </w:r>
    </w:p>
    <w:p w:rsidR="00CF337A" w:rsidRDefault="00CF337A" w:rsidP="00CF337A">
      <w:pPr>
        <w:pStyle w:val="NormalWeb"/>
        <w:spacing w:before="0" w:beforeAutospacing="0" w:after="0" w:afterAutospacing="0"/>
        <w:ind w:left="720"/>
        <w:rPr>
          <w:rFonts w:ascii="Calibri" w:hAnsi="Calibri" w:cs="Calibri"/>
          <w:i/>
          <w:sz w:val="22"/>
          <w:szCs w:val="22"/>
        </w:rPr>
      </w:pPr>
    </w:p>
    <w:p w:rsidR="00CF337A" w:rsidRDefault="00CF337A" w:rsidP="00CF337A">
      <w:pPr>
        <w:pStyle w:val="NormalWeb"/>
        <w:spacing w:before="0" w:beforeAutospacing="0" w:after="0" w:afterAutospacing="0"/>
        <w:ind w:left="720"/>
        <w:rPr>
          <w:rFonts w:ascii="Calibri" w:hAnsi="Calibri" w:cs="Calibri"/>
          <w:i/>
          <w:sz w:val="22"/>
          <w:szCs w:val="22"/>
        </w:rPr>
      </w:pPr>
      <w:r>
        <w:rPr>
          <w:rFonts w:ascii="Calibri" w:hAnsi="Calibri" w:cs="Calibri"/>
          <w:i/>
          <w:sz w:val="22"/>
          <w:szCs w:val="22"/>
        </w:rPr>
        <w:t xml:space="preserve">CLOSEPTY: </w:t>
      </w:r>
      <w:r w:rsidRPr="00CF337A">
        <w:rPr>
          <w:rFonts w:ascii="Calibri" w:hAnsi="Calibri" w:cs="Calibri"/>
          <w:i/>
          <w:sz w:val="22"/>
          <w:szCs w:val="22"/>
        </w:rPr>
        <w:t>Do you think of yourself as a little closer to one political party than to the others?</w:t>
      </w:r>
    </w:p>
    <w:p w:rsidR="00CF337A" w:rsidRDefault="00CF337A" w:rsidP="00CF337A">
      <w:pPr>
        <w:pStyle w:val="NormalWeb"/>
        <w:spacing w:before="0" w:beforeAutospacing="0" w:after="0" w:afterAutospacing="0"/>
        <w:ind w:left="720"/>
        <w:rPr>
          <w:rFonts w:ascii="Calibri" w:hAnsi="Calibri" w:cs="Calibri"/>
          <w:i/>
          <w:sz w:val="22"/>
          <w:szCs w:val="22"/>
        </w:rPr>
      </w:pPr>
    </w:p>
    <w:p w:rsidR="00CF337A" w:rsidRDefault="00CF337A" w:rsidP="00CF337A">
      <w:pPr>
        <w:pStyle w:val="NormalWeb"/>
        <w:spacing w:before="0" w:beforeAutospacing="0" w:after="0" w:afterAutospacing="0"/>
        <w:ind w:left="720"/>
        <w:rPr>
          <w:rFonts w:ascii="Calibri" w:hAnsi="Calibri" w:cs="Calibri"/>
          <w:i/>
          <w:sz w:val="22"/>
          <w:szCs w:val="22"/>
        </w:rPr>
      </w:pPr>
      <w:r>
        <w:rPr>
          <w:rFonts w:ascii="Calibri" w:hAnsi="Calibri" w:cs="Calibri"/>
          <w:i/>
          <w:sz w:val="22"/>
          <w:szCs w:val="22"/>
        </w:rPr>
        <w:t xml:space="preserve">[If yes to either question] PARTYFW: </w:t>
      </w:r>
      <w:r w:rsidRPr="00CF337A">
        <w:rPr>
          <w:rFonts w:ascii="Calibri" w:hAnsi="Calibri" w:cs="Calibri"/>
          <w:i/>
          <w:sz w:val="22"/>
          <w:szCs w:val="22"/>
        </w:rPr>
        <w:t>Which one?</w:t>
      </w:r>
    </w:p>
    <w:p w:rsidR="00CF337A" w:rsidRPr="00CF337A" w:rsidRDefault="00CF337A" w:rsidP="00CF337A">
      <w:pPr>
        <w:pStyle w:val="NormalWeb"/>
        <w:spacing w:before="0" w:beforeAutospacing="0" w:after="0" w:afterAutospacing="0"/>
        <w:ind w:left="720"/>
        <w:rPr>
          <w:rFonts w:ascii="Calibri" w:hAnsi="Calibri" w:cs="Calibri"/>
          <w:i/>
          <w:sz w:val="22"/>
          <w:szCs w:val="22"/>
        </w:rPr>
      </w:pPr>
    </w:p>
    <w:p w:rsidR="00CF337A" w:rsidRDefault="00CF337A" w:rsidP="00CF337A">
      <w:pPr>
        <w:pStyle w:val="NormalWeb"/>
        <w:spacing w:before="0" w:beforeAutospacing="0" w:after="0" w:afterAutospacing="0"/>
        <w:ind w:left="720"/>
        <w:rPr>
          <w:rFonts w:ascii="Calibri" w:hAnsi="Calibri" w:cs="Calibri"/>
          <w:i/>
          <w:sz w:val="22"/>
          <w:szCs w:val="22"/>
        </w:rPr>
      </w:pPr>
      <w:r>
        <w:rPr>
          <w:rFonts w:ascii="Calibri" w:hAnsi="Calibri" w:cs="Calibri"/>
          <w:i/>
          <w:sz w:val="22"/>
          <w:szCs w:val="22"/>
        </w:rPr>
        <w:t xml:space="preserve">[Else] PARTYFW: </w:t>
      </w:r>
      <w:r w:rsidRPr="00CF337A">
        <w:rPr>
          <w:rFonts w:ascii="Calibri" w:hAnsi="Calibri" w:cs="Calibri"/>
          <w:i/>
          <w:sz w:val="22"/>
          <w:szCs w:val="22"/>
        </w:rPr>
        <w:t>If there were a general election tomorrow, which political party do you think you would be most likely to support?</w:t>
      </w:r>
    </w:p>
    <w:p w:rsidR="00CF337A" w:rsidRDefault="00CF337A" w:rsidP="00CF337A">
      <w:pPr>
        <w:pStyle w:val="NormalWeb"/>
        <w:spacing w:before="0" w:beforeAutospacing="0" w:after="0" w:afterAutospacing="0"/>
        <w:ind w:left="720"/>
        <w:rPr>
          <w:rFonts w:ascii="Calibri" w:hAnsi="Calibri" w:cs="Calibri"/>
          <w:i/>
          <w:sz w:val="22"/>
          <w:szCs w:val="22"/>
        </w:rPr>
      </w:pPr>
    </w:p>
    <w:p w:rsidR="00CF337A" w:rsidRDefault="00CF337A" w:rsidP="00FB18D3">
      <w:pPr>
        <w:tabs>
          <w:tab w:val="left" w:pos="936"/>
        </w:tabs>
      </w:pPr>
      <w:r>
        <w:t>For the analysis mentioned above, I compared Labour identifiers (people responding ‘Labour’ to any of the questions above) vs. all others.  The prevalence of Labour identification (and the gap between Labour identifiers and non-identifiers for the two questions above) is as follows:</w:t>
      </w:r>
    </w:p>
    <w:p w:rsidR="00CF337A" w:rsidRDefault="00CF337A" w:rsidP="00CF337A">
      <w:r>
        <w:br w:type="page"/>
      </w:r>
    </w:p>
    <w:tbl>
      <w:tblPr>
        <w:tblW w:w="5480" w:type="dxa"/>
        <w:jc w:val="center"/>
        <w:tblInd w:w="108" w:type="dxa"/>
        <w:tblLook w:val="04A0" w:firstRow="1" w:lastRow="0" w:firstColumn="1" w:lastColumn="0" w:noHBand="0" w:noVBand="1"/>
      </w:tblPr>
      <w:tblGrid>
        <w:gridCol w:w="1168"/>
        <w:gridCol w:w="1448"/>
        <w:gridCol w:w="1433"/>
        <w:gridCol w:w="1431"/>
      </w:tblGrid>
      <w:tr w:rsidR="00CF337A" w:rsidRPr="00CF337A" w:rsidTr="00CF337A">
        <w:trPr>
          <w:trHeight w:val="264"/>
          <w:jc w:val="center"/>
        </w:trPr>
        <w:tc>
          <w:tcPr>
            <w:tcW w:w="1168" w:type="dxa"/>
            <w:tcBorders>
              <w:top w:val="nil"/>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sz w:val="20"/>
                <w:szCs w:val="20"/>
                <w:lang w:eastAsia="en-GB"/>
              </w:rPr>
            </w:pPr>
          </w:p>
        </w:tc>
        <w:tc>
          <w:tcPr>
            <w:tcW w:w="1448" w:type="dxa"/>
            <w:tcBorders>
              <w:top w:val="nil"/>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sz w:val="20"/>
                <w:szCs w:val="20"/>
                <w:lang w:eastAsia="en-GB"/>
              </w:rPr>
            </w:pPr>
          </w:p>
        </w:tc>
        <w:tc>
          <w:tcPr>
            <w:tcW w:w="2864" w:type="dxa"/>
            <w:gridSpan w:val="2"/>
            <w:tcBorders>
              <w:top w:val="nil"/>
              <w:left w:val="nil"/>
              <w:bottom w:val="nil"/>
              <w:right w:val="nil"/>
            </w:tcBorders>
            <w:shd w:val="clear" w:color="000000" w:fill="000000"/>
            <w:vAlign w:val="bottom"/>
            <w:hideMark/>
          </w:tcPr>
          <w:p w:rsidR="00CF337A" w:rsidRPr="00CF337A" w:rsidRDefault="00CF337A" w:rsidP="00CF337A">
            <w:pPr>
              <w:spacing w:after="0" w:line="240" w:lineRule="auto"/>
              <w:jc w:val="center"/>
              <w:rPr>
                <w:rFonts w:ascii="Arial" w:eastAsia="Times New Roman" w:hAnsi="Arial" w:cs="Arial"/>
                <w:b/>
                <w:bCs/>
                <w:i/>
                <w:color w:val="FFFFFF"/>
                <w:sz w:val="20"/>
                <w:szCs w:val="20"/>
                <w:lang w:eastAsia="en-GB"/>
              </w:rPr>
            </w:pPr>
            <w:r w:rsidRPr="00CF337A">
              <w:rPr>
                <w:rFonts w:ascii="Arial" w:eastAsia="Times New Roman" w:hAnsi="Arial" w:cs="Arial"/>
                <w:b/>
                <w:bCs/>
                <w:i/>
                <w:color w:val="FFFFFF"/>
                <w:sz w:val="20"/>
                <w:szCs w:val="20"/>
                <w:lang w:eastAsia="en-GB"/>
              </w:rPr>
              <w:t>Labour vs. non-Labour gap</w:t>
            </w:r>
          </w:p>
        </w:tc>
      </w:tr>
      <w:tr w:rsidR="00CF337A" w:rsidRPr="00CF337A" w:rsidTr="00CF337A">
        <w:trPr>
          <w:trHeight w:val="660"/>
          <w:jc w:val="center"/>
        </w:trPr>
        <w:tc>
          <w:tcPr>
            <w:tcW w:w="1168" w:type="dxa"/>
            <w:tcBorders>
              <w:top w:val="single" w:sz="4" w:space="0" w:color="000000"/>
              <w:left w:val="single" w:sz="4" w:space="0" w:color="000000"/>
              <w:bottom w:val="nil"/>
              <w:right w:val="nil"/>
            </w:tcBorders>
            <w:shd w:val="clear" w:color="000000" w:fill="000000"/>
            <w:noWrap/>
            <w:vAlign w:val="bottom"/>
            <w:hideMark/>
          </w:tcPr>
          <w:p w:rsidR="00CF337A" w:rsidRPr="00CF337A" w:rsidRDefault="00CF337A" w:rsidP="00CF337A">
            <w:pPr>
              <w:spacing w:after="0" w:line="240" w:lineRule="auto"/>
              <w:rPr>
                <w:rFonts w:ascii="Arial" w:eastAsia="Times New Roman" w:hAnsi="Arial" w:cs="Arial"/>
                <w:b/>
                <w:bCs/>
                <w:color w:val="FFFFFF"/>
                <w:sz w:val="20"/>
                <w:szCs w:val="20"/>
                <w:lang w:eastAsia="en-GB"/>
              </w:rPr>
            </w:pPr>
            <w:r w:rsidRPr="00CF337A">
              <w:rPr>
                <w:rFonts w:ascii="Arial" w:eastAsia="Times New Roman" w:hAnsi="Arial" w:cs="Arial"/>
                <w:b/>
                <w:bCs/>
                <w:color w:val="FFFFFF"/>
                <w:sz w:val="20"/>
                <w:szCs w:val="20"/>
                <w:lang w:eastAsia="en-GB"/>
              </w:rPr>
              <w:t>Year</w:t>
            </w:r>
          </w:p>
        </w:tc>
        <w:tc>
          <w:tcPr>
            <w:tcW w:w="1448" w:type="dxa"/>
            <w:tcBorders>
              <w:top w:val="single" w:sz="4" w:space="0" w:color="000000"/>
              <w:left w:val="nil"/>
              <w:bottom w:val="nil"/>
              <w:right w:val="nil"/>
            </w:tcBorders>
            <w:shd w:val="clear" w:color="000000" w:fill="000000"/>
            <w:vAlign w:val="bottom"/>
            <w:hideMark/>
          </w:tcPr>
          <w:p w:rsidR="00CF337A" w:rsidRPr="00CF337A" w:rsidRDefault="00CF337A" w:rsidP="00CF337A">
            <w:pPr>
              <w:spacing w:after="0" w:line="240" w:lineRule="auto"/>
              <w:jc w:val="center"/>
              <w:rPr>
                <w:rFonts w:ascii="Arial" w:eastAsia="Times New Roman" w:hAnsi="Arial" w:cs="Arial"/>
                <w:b/>
                <w:bCs/>
                <w:color w:val="FFFFFF"/>
                <w:sz w:val="20"/>
                <w:szCs w:val="20"/>
                <w:lang w:eastAsia="en-GB"/>
              </w:rPr>
            </w:pPr>
            <w:r w:rsidRPr="00CF337A">
              <w:rPr>
                <w:rFonts w:ascii="Arial" w:eastAsia="Times New Roman" w:hAnsi="Arial" w:cs="Arial"/>
                <w:b/>
                <w:bCs/>
                <w:color w:val="FFFFFF"/>
                <w:sz w:val="20"/>
                <w:szCs w:val="20"/>
                <w:lang w:eastAsia="en-GB"/>
              </w:rPr>
              <w:t xml:space="preserve">Labour </w:t>
            </w:r>
            <w:r w:rsidRPr="00CF337A">
              <w:rPr>
                <w:rFonts w:ascii="Arial" w:eastAsia="Times New Roman" w:hAnsi="Arial" w:cs="Arial"/>
                <w:b/>
                <w:bCs/>
                <w:color w:val="FFFFFF"/>
                <w:sz w:val="20"/>
                <w:szCs w:val="20"/>
                <w:lang w:eastAsia="en-GB"/>
              </w:rPr>
              <w:br/>
              <w:t>identifiers</w:t>
            </w:r>
          </w:p>
        </w:tc>
        <w:tc>
          <w:tcPr>
            <w:tcW w:w="1433" w:type="dxa"/>
            <w:tcBorders>
              <w:top w:val="single" w:sz="4" w:space="0" w:color="000000"/>
              <w:left w:val="nil"/>
              <w:bottom w:val="nil"/>
              <w:right w:val="nil"/>
            </w:tcBorders>
            <w:shd w:val="clear" w:color="000000" w:fill="000000"/>
            <w:vAlign w:val="bottom"/>
            <w:hideMark/>
          </w:tcPr>
          <w:p w:rsidR="00CF337A" w:rsidRPr="00CF337A" w:rsidRDefault="00CF337A" w:rsidP="00CF337A">
            <w:pPr>
              <w:spacing w:after="0" w:line="240" w:lineRule="auto"/>
              <w:jc w:val="center"/>
              <w:rPr>
                <w:rFonts w:ascii="Arial" w:eastAsia="Times New Roman" w:hAnsi="Arial" w:cs="Arial"/>
                <w:bCs/>
                <w:color w:val="FFFFFF"/>
                <w:sz w:val="20"/>
                <w:szCs w:val="20"/>
                <w:lang w:eastAsia="en-GB"/>
              </w:rPr>
            </w:pPr>
            <w:r w:rsidRPr="00CF337A">
              <w:rPr>
                <w:rFonts w:ascii="Arial" w:eastAsia="Times New Roman" w:hAnsi="Arial" w:cs="Arial"/>
                <w:bCs/>
                <w:color w:val="FFFFFF"/>
                <w:sz w:val="20"/>
                <w:szCs w:val="20"/>
                <w:lang w:eastAsia="en-GB"/>
              </w:rPr>
              <w:t xml:space="preserve">Falsely </w:t>
            </w:r>
            <w:r w:rsidRPr="00CF337A">
              <w:rPr>
                <w:rFonts w:ascii="Arial" w:eastAsia="Times New Roman" w:hAnsi="Arial" w:cs="Arial"/>
                <w:bCs/>
                <w:color w:val="FFFFFF"/>
                <w:sz w:val="20"/>
                <w:szCs w:val="20"/>
                <w:lang w:eastAsia="en-GB"/>
              </w:rPr>
              <w:br/>
              <w:t>claiming</w:t>
            </w:r>
          </w:p>
        </w:tc>
        <w:tc>
          <w:tcPr>
            <w:tcW w:w="1431" w:type="dxa"/>
            <w:tcBorders>
              <w:top w:val="single" w:sz="4" w:space="0" w:color="000000"/>
              <w:left w:val="nil"/>
              <w:bottom w:val="nil"/>
              <w:right w:val="single" w:sz="4" w:space="0" w:color="000000"/>
            </w:tcBorders>
            <w:shd w:val="clear" w:color="000000" w:fill="000000"/>
            <w:vAlign w:val="bottom"/>
            <w:hideMark/>
          </w:tcPr>
          <w:p w:rsidR="00CF337A" w:rsidRPr="00CF337A" w:rsidRDefault="00CF337A" w:rsidP="00CF337A">
            <w:pPr>
              <w:spacing w:after="0" w:line="240" w:lineRule="auto"/>
              <w:jc w:val="center"/>
              <w:rPr>
                <w:rFonts w:ascii="Arial" w:eastAsia="Times New Roman" w:hAnsi="Arial" w:cs="Arial"/>
                <w:bCs/>
                <w:color w:val="FFFFFF"/>
                <w:sz w:val="20"/>
                <w:szCs w:val="20"/>
                <w:lang w:eastAsia="en-GB"/>
              </w:rPr>
            </w:pPr>
            <w:proofErr w:type="spellStart"/>
            <w:r w:rsidRPr="00CF337A">
              <w:rPr>
                <w:rFonts w:ascii="Arial" w:eastAsia="Times New Roman" w:hAnsi="Arial" w:cs="Arial"/>
                <w:bCs/>
                <w:color w:val="FFFFFF"/>
                <w:sz w:val="20"/>
                <w:szCs w:val="20"/>
                <w:lang w:eastAsia="en-GB"/>
              </w:rPr>
              <w:t>Unemp</w:t>
            </w:r>
            <w:proofErr w:type="spellEnd"/>
            <w:r w:rsidRPr="00CF337A">
              <w:rPr>
                <w:rFonts w:ascii="Arial" w:eastAsia="Times New Roman" w:hAnsi="Arial" w:cs="Arial"/>
                <w:bCs/>
                <w:color w:val="FFFFFF"/>
                <w:sz w:val="20"/>
                <w:szCs w:val="20"/>
                <w:lang w:eastAsia="en-GB"/>
              </w:rPr>
              <w:t xml:space="preserve"> bens </w:t>
            </w:r>
            <w:r w:rsidRPr="00CF337A">
              <w:rPr>
                <w:rFonts w:ascii="Arial" w:eastAsia="Times New Roman" w:hAnsi="Arial" w:cs="Arial"/>
                <w:bCs/>
                <w:color w:val="FFFFFF"/>
                <w:sz w:val="20"/>
                <w:szCs w:val="20"/>
                <w:lang w:eastAsia="en-GB"/>
              </w:rPr>
              <w:br/>
              <w:t>too low</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1983</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33%</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10%</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27%</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1984</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35%</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25%</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1985</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36%</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15%</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33%</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1986</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35%</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29%</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1987</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29%</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12%</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30%</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1989</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34%</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30%</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1990</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39%</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13%</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30%</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1991</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35%</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27%</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1993</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38%</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23%</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1994</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40%</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10%</w:t>
            </w: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23%</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1995</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44%</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28%</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1996</w:t>
            </w:r>
          </w:p>
        </w:tc>
        <w:tc>
          <w:tcPr>
            <w:tcW w:w="1448"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42%</w:t>
            </w:r>
          </w:p>
        </w:tc>
        <w:tc>
          <w:tcPr>
            <w:tcW w:w="1433" w:type="dxa"/>
            <w:tcBorders>
              <w:top w:val="single" w:sz="4" w:space="0" w:color="000000"/>
              <w:left w:val="nil"/>
              <w:bottom w:val="nil"/>
              <w:right w:val="nil"/>
            </w:tcBorders>
            <w:shd w:val="clear" w:color="auto" w:fill="auto"/>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p>
        </w:tc>
        <w:tc>
          <w:tcPr>
            <w:tcW w:w="1431" w:type="dxa"/>
            <w:tcBorders>
              <w:top w:val="single" w:sz="4" w:space="0" w:color="000000"/>
              <w:left w:val="nil"/>
              <w:bottom w:val="nil"/>
              <w:right w:val="single" w:sz="4" w:space="0" w:color="000000"/>
            </w:tcBorders>
            <w:shd w:val="clear" w:color="auto" w:fill="auto"/>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24%</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808080"/>
            <w:noWrap/>
            <w:vAlign w:val="bottom"/>
            <w:hideMark/>
          </w:tcPr>
          <w:p w:rsidR="00CF337A" w:rsidRPr="00CF337A" w:rsidRDefault="00CF337A" w:rsidP="00CF337A">
            <w:pPr>
              <w:spacing w:after="0" w:line="240" w:lineRule="auto"/>
              <w:jc w:val="right"/>
              <w:rPr>
                <w:rFonts w:ascii="Arial" w:eastAsia="Times New Roman" w:hAnsi="Arial" w:cs="Arial"/>
                <w:b/>
                <w:bCs/>
                <w:i/>
                <w:iCs/>
                <w:color w:val="FFFFFF"/>
                <w:sz w:val="20"/>
                <w:szCs w:val="20"/>
                <w:lang w:eastAsia="en-GB"/>
              </w:rPr>
            </w:pPr>
            <w:r w:rsidRPr="00CF337A">
              <w:rPr>
                <w:rFonts w:ascii="Arial" w:eastAsia="Times New Roman" w:hAnsi="Arial" w:cs="Arial"/>
                <w:b/>
                <w:bCs/>
                <w:i/>
                <w:iCs/>
                <w:color w:val="FFFFFF"/>
                <w:sz w:val="20"/>
                <w:szCs w:val="20"/>
                <w:lang w:eastAsia="en-GB"/>
              </w:rPr>
              <w:t>1997</w:t>
            </w:r>
          </w:p>
        </w:tc>
        <w:tc>
          <w:tcPr>
            <w:tcW w:w="1448" w:type="dxa"/>
            <w:tcBorders>
              <w:top w:val="single" w:sz="4" w:space="0" w:color="000000"/>
              <w:left w:val="nil"/>
              <w:bottom w:val="nil"/>
              <w:right w:val="nil"/>
            </w:tcBorders>
            <w:shd w:val="clear" w:color="000000" w:fill="808080"/>
            <w:noWrap/>
            <w:vAlign w:val="bottom"/>
            <w:hideMark/>
          </w:tcPr>
          <w:p w:rsidR="00CF337A" w:rsidRPr="00CF337A" w:rsidRDefault="00CF337A" w:rsidP="00CF337A">
            <w:pPr>
              <w:spacing w:after="0" w:line="240" w:lineRule="auto"/>
              <w:jc w:val="right"/>
              <w:rPr>
                <w:rFonts w:ascii="Arial" w:eastAsia="Times New Roman" w:hAnsi="Arial" w:cs="Arial"/>
                <w:b/>
                <w:bCs/>
                <w:i/>
                <w:iCs/>
                <w:color w:val="FFFFFF"/>
                <w:sz w:val="20"/>
                <w:szCs w:val="20"/>
                <w:lang w:eastAsia="en-GB"/>
              </w:rPr>
            </w:pPr>
            <w:r w:rsidRPr="00CF337A">
              <w:rPr>
                <w:rFonts w:ascii="Arial" w:eastAsia="Times New Roman" w:hAnsi="Arial" w:cs="Arial"/>
                <w:b/>
                <w:bCs/>
                <w:i/>
                <w:iCs/>
                <w:color w:val="FFFFFF"/>
                <w:sz w:val="20"/>
                <w:szCs w:val="20"/>
                <w:lang w:eastAsia="en-GB"/>
              </w:rPr>
              <w:t>42%</w:t>
            </w:r>
          </w:p>
        </w:tc>
        <w:tc>
          <w:tcPr>
            <w:tcW w:w="1433" w:type="dxa"/>
            <w:tcBorders>
              <w:top w:val="single" w:sz="4" w:space="0" w:color="000000"/>
              <w:left w:val="nil"/>
              <w:bottom w:val="nil"/>
              <w:right w:val="nil"/>
            </w:tcBorders>
            <w:shd w:val="clear" w:color="000000" w:fill="808080"/>
            <w:noWrap/>
            <w:vAlign w:val="bottom"/>
            <w:hideMark/>
          </w:tcPr>
          <w:p w:rsidR="00CF337A" w:rsidRPr="00CF337A" w:rsidRDefault="00CF337A" w:rsidP="00CF337A">
            <w:pPr>
              <w:spacing w:after="0" w:line="240" w:lineRule="auto"/>
              <w:rPr>
                <w:rFonts w:ascii="Arial" w:eastAsia="Times New Roman" w:hAnsi="Arial" w:cs="Arial"/>
                <w:b/>
                <w:bCs/>
                <w:i/>
                <w:iCs/>
                <w:color w:val="FFFFFF"/>
                <w:sz w:val="20"/>
                <w:szCs w:val="20"/>
                <w:lang w:eastAsia="en-GB"/>
              </w:rPr>
            </w:pPr>
            <w:r w:rsidRPr="00CF337A">
              <w:rPr>
                <w:rFonts w:ascii="Arial" w:eastAsia="Times New Roman" w:hAnsi="Arial" w:cs="Arial"/>
                <w:b/>
                <w:bCs/>
                <w:i/>
                <w:iCs/>
                <w:color w:val="FFFFFF"/>
                <w:sz w:val="20"/>
                <w:szCs w:val="20"/>
                <w:lang w:eastAsia="en-GB"/>
              </w:rPr>
              <w:t> </w:t>
            </w:r>
          </w:p>
        </w:tc>
        <w:tc>
          <w:tcPr>
            <w:tcW w:w="1431" w:type="dxa"/>
            <w:tcBorders>
              <w:top w:val="single" w:sz="4" w:space="0" w:color="000000"/>
              <w:left w:val="nil"/>
              <w:bottom w:val="nil"/>
              <w:right w:val="single" w:sz="4" w:space="0" w:color="000000"/>
            </w:tcBorders>
            <w:shd w:val="clear" w:color="000000" w:fill="808080"/>
            <w:noWrap/>
            <w:vAlign w:val="bottom"/>
            <w:hideMark/>
          </w:tcPr>
          <w:p w:rsidR="00CF337A" w:rsidRPr="00CF337A" w:rsidRDefault="00CF337A" w:rsidP="00CF337A">
            <w:pPr>
              <w:spacing w:after="0" w:line="240" w:lineRule="auto"/>
              <w:jc w:val="right"/>
              <w:rPr>
                <w:rFonts w:ascii="Arial" w:eastAsia="Times New Roman" w:hAnsi="Arial" w:cs="Arial"/>
                <w:b/>
                <w:bCs/>
                <w:i/>
                <w:iCs/>
                <w:color w:val="FFFFFF"/>
                <w:sz w:val="20"/>
                <w:szCs w:val="20"/>
                <w:lang w:eastAsia="en-GB"/>
              </w:rPr>
            </w:pPr>
            <w:r w:rsidRPr="00CF337A">
              <w:rPr>
                <w:rFonts w:ascii="Arial" w:eastAsia="Times New Roman" w:hAnsi="Arial" w:cs="Arial"/>
                <w:b/>
                <w:bCs/>
                <w:i/>
                <w:iCs/>
                <w:color w:val="FFFFFF"/>
                <w:sz w:val="20"/>
                <w:szCs w:val="20"/>
                <w:lang w:eastAsia="en-GB"/>
              </w:rPr>
              <w:t>22%</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1998</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45%</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5%</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15%</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1999</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43%</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8%</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2000</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40%</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6%</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19%</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2001</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45%</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2002</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41%</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7%</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2003</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37%</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9%</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2004</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32%</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5%</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12%</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2005</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40%</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 </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10%</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2006</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33%</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6%</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11%</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2007</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34%</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 </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8%</w:t>
            </w:r>
          </w:p>
        </w:tc>
      </w:tr>
      <w:tr w:rsidR="00CF337A" w:rsidRPr="00CF337A" w:rsidTr="00CF337A">
        <w:trPr>
          <w:trHeight w:val="264"/>
          <w:jc w:val="center"/>
        </w:trPr>
        <w:tc>
          <w:tcPr>
            <w:tcW w:w="1168" w:type="dxa"/>
            <w:tcBorders>
              <w:top w:val="single" w:sz="4" w:space="0" w:color="000000"/>
              <w:left w:val="single" w:sz="4" w:space="0" w:color="000000"/>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2008</w:t>
            </w:r>
          </w:p>
        </w:tc>
        <w:tc>
          <w:tcPr>
            <w:tcW w:w="1448"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27%</w:t>
            </w:r>
          </w:p>
        </w:tc>
        <w:tc>
          <w:tcPr>
            <w:tcW w:w="1433" w:type="dxa"/>
            <w:tcBorders>
              <w:top w:val="single" w:sz="4" w:space="0" w:color="000000"/>
              <w:left w:val="nil"/>
              <w:bottom w:val="nil"/>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8%</w:t>
            </w:r>
          </w:p>
        </w:tc>
        <w:tc>
          <w:tcPr>
            <w:tcW w:w="1431" w:type="dxa"/>
            <w:tcBorders>
              <w:top w:val="single" w:sz="4" w:space="0" w:color="000000"/>
              <w:left w:val="nil"/>
              <w:bottom w:val="nil"/>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9%</w:t>
            </w:r>
          </w:p>
        </w:tc>
      </w:tr>
      <w:tr w:rsidR="00CF337A" w:rsidRPr="00CF337A" w:rsidTr="00CF337A">
        <w:trPr>
          <w:trHeight w:val="264"/>
          <w:jc w:val="center"/>
        </w:trPr>
        <w:tc>
          <w:tcPr>
            <w:tcW w:w="1168" w:type="dxa"/>
            <w:tcBorders>
              <w:top w:val="single" w:sz="4" w:space="0" w:color="000000"/>
              <w:left w:val="single" w:sz="4" w:space="0" w:color="000000"/>
              <w:bottom w:val="single" w:sz="4" w:space="0" w:color="000000"/>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2009</w:t>
            </w:r>
          </w:p>
        </w:tc>
        <w:tc>
          <w:tcPr>
            <w:tcW w:w="1448" w:type="dxa"/>
            <w:tcBorders>
              <w:top w:val="single" w:sz="4" w:space="0" w:color="000000"/>
              <w:left w:val="nil"/>
              <w:bottom w:val="single" w:sz="4" w:space="0" w:color="000000"/>
              <w:right w:val="nil"/>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26%</w:t>
            </w:r>
          </w:p>
        </w:tc>
        <w:tc>
          <w:tcPr>
            <w:tcW w:w="1433" w:type="dxa"/>
            <w:tcBorders>
              <w:top w:val="single" w:sz="4" w:space="0" w:color="000000"/>
              <w:left w:val="nil"/>
              <w:bottom w:val="single" w:sz="4" w:space="0" w:color="000000"/>
              <w:right w:val="nil"/>
            </w:tcBorders>
            <w:shd w:val="clear" w:color="000000" w:fill="D9D9D9"/>
            <w:noWrap/>
            <w:vAlign w:val="bottom"/>
            <w:hideMark/>
          </w:tcPr>
          <w:p w:rsidR="00CF337A" w:rsidRPr="00CF337A" w:rsidRDefault="00CF337A" w:rsidP="00CF337A">
            <w:pPr>
              <w:spacing w:after="0" w:line="240" w:lineRule="auto"/>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 </w:t>
            </w:r>
          </w:p>
        </w:tc>
        <w:tc>
          <w:tcPr>
            <w:tcW w:w="1431" w:type="dxa"/>
            <w:tcBorders>
              <w:top w:val="single" w:sz="4" w:space="0" w:color="000000"/>
              <w:left w:val="nil"/>
              <w:bottom w:val="single" w:sz="4" w:space="0" w:color="000000"/>
              <w:right w:val="single" w:sz="4" w:space="0" w:color="000000"/>
            </w:tcBorders>
            <w:shd w:val="clear" w:color="000000" w:fill="D9D9D9"/>
            <w:noWrap/>
            <w:vAlign w:val="bottom"/>
            <w:hideMark/>
          </w:tcPr>
          <w:p w:rsidR="00CF337A" w:rsidRPr="00CF337A" w:rsidRDefault="00CF337A" w:rsidP="00CF337A">
            <w:pPr>
              <w:spacing w:after="0" w:line="240" w:lineRule="auto"/>
              <w:jc w:val="right"/>
              <w:rPr>
                <w:rFonts w:ascii="Arial" w:eastAsia="Times New Roman" w:hAnsi="Arial" w:cs="Arial"/>
                <w:color w:val="000000"/>
                <w:sz w:val="20"/>
                <w:szCs w:val="20"/>
                <w:lang w:eastAsia="en-GB"/>
              </w:rPr>
            </w:pPr>
            <w:r w:rsidRPr="00CF337A">
              <w:rPr>
                <w:rFonts w:ascii="Arial" w:eastAsia="Times New Roman" w:hAnsi="Arial" w:cs="Arial"/>
                <w:color w:val="000000"/>
                <w:sz w:val="20"/>
                <w:szCs w:val="20"/>
                <w:lang w:eastAsia="en-GB"/>
              </w:rPr>
              <w:t>14%</w:t>
            </w:r>
          </w:p>
        </w:tc>
      </w:tr>
    </w:tbl>
    <w:p w:rsidR="00CF337A" w:rsidRDefault="00CF337A" w:rsidP="00FB18D3">
      <w:pPr>
        <w:tabs>
          <w:tab w:val="left" w:pos="936"/>
        </w:tabs>
      </w:pPr>
    </w:p>
    <w:p w:rsidR="00826B96" w:rsidRPr="00F9570B" w:rsidRDefault="00826B96" w:rsidP="00826B96">
      <w:pPr>
        <w:tabs>
          <w:tab w:val="left" w:pos="936"/>
        </w:tabs>
      </w:pPr>
    </w:p>
    <w:sectPr w:rsidR="00826B96" w:rsidRPr="00F95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0B"/>
    <w:rsid w:val="003F4601"/>
    <w:rsid w:val="00826B96"/>
    <w:rsid w:val="009643C5"/>
    <w:rsid w:val="009D7566"/>
    <w:rsid w:val="00A66953"/>
    <w:rsid w:val="00CF337A"/>
    <w:rsid w:val="00F9570B"/>
    <w:rsid w:val="00FB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0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26B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6B96"/>
    <w:rPr>
      <w:color w:val="0000FF"/>
      <w:u w:val="single"/>
    </w:rPr>
  </w:style>
  <w:style w:type="character" w:customStyle="1" w:styleId="Heading2Char">
    <w:name w:val="Heading 2 Char"/>
    <w:basedOn w:val="DefaultParagraphFont"/>
    <w:link w:val="Heading2"/>
    <w:uiPriority w:val="9"/>
    <w:rsid w:val="00826B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0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26B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6B96"/>
    <w:rPr>
      <w:color w:val="0000FF"/>
      <w:u w:val="single"/>
    </w:rPr>
  </w:style>
  <w:style w:type="character" w:customStyle="1" w:styleId="Heading2Char">
    <w:name w:val="Heading 2 Char"/>
    <w:basedOn w:val="DefaultParagraphFont"/>
    <w:link w:val="Heading2"/>
    <w:uiPriority w:val="9"/>
    <w:rsid w:val="00826B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4374">
      <w:bodyDiv w:val="1"/>
      <w:marLeft w:val="0"/>
      <w:marRight w:val="0"/>
      <w:marTop w:val="0"/>
      <w:marBottom w:val="0"/>
      <w:divBdr>
        <w:top w:val="none" w:sz="0" w:space="0" w:color="auto"/>
        <w:left w:val="none" w:sz="0" w:space="0" w:color="auto"/>
        <w:bottom w:val="none" w:sz="0" w:space="0" w:color="auto"/>
        <w:right w:val="none" w:sz="0" w:space="0" w:color="auto"/>
      </w:divBdr>
    </w:div>
    <w:div w:id="748700734">
      <w:bodyDiv w:val="1"/>
      <w:marLeft w:val="0"/>
      <w:marRight w:val="0"/>
      <w:marTop w:val="0"/>
      <w:marBottom w:val="0"/>
      <w:divBdr>
        <w:top w:val="none" w:sz="0" w:space="0" w:color="auto"/>
        <w:left w:val="none" w:sz="0" w:space="0" w:color="auto"/>
        <w:bottom w:val="none" w:sz="0" w:space="0" w:color="auto"/>
        <w:right w:val="none" w:sz="0" w:space="0" w:color="auto"/>
      </w:divBdr>
    </w:div>
    <w:div w:id="10141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nbaumberg.com" TargetMode="External"/><Relationship Id="rId5" Type="http://schemas.openxmlformats.org/officeDocument/2006/relationships/hyperlink" Target="http://www.benbaumberg.com/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2014-06-10T11:46:00Z</dcterms:created>
  <dcterms:modified xsi:type="dcterms:W3CDTF">2014-06-10T13:55:00Z</dcterms:modified>
</cp:coreProperties>
</file>