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33" w:rsidRDefault="00700133">
      <w:pPr>
        <w:spacing w:after="200" w:line="276" w:lineRule="auto"/>
        <w:rPr>
          <w:rFonts w:ascii="Calibri" w:hAnsi="Calibri"/>
          <w:i/>
          <w:iCs/>
          <w:szCs w:val="22"/>
        </w:rPr>
      </w:pPr>
      <w:r>
        <w:rPr>
          <w:rFonts w:ascii="Calibri" w:hAnsi="Calibri"/>
          <w:i/>
          <w:iCs/>
          <w:szCs w:val="22"/>
        </w:rPr>
        <w:t xml:space="preserve">This is the pre-peer reviewed version of an article </w:t>
      </w:r>
      <w:r w:rsidR="00C337F4">
        <w:rPr>
          <w:rFonts w:ascii="Calibri" w:hAnsi="Calibri"/>
          <w:i/>
          <w:iCs/>
          <w:szCs w:val="22"/>
        </w:rPr>
        <w:t xml:space="preserve">published </w:t>
      </w:r>
      <w:r>
        <w:rPr>
          <w:rFonts w:ascii="Calibri" w:hAnsi="Calibri"/>
          <w:i/>
          <w:iCs/>
          <w:szCs w:val="22"/>
        </w:rPr>
        <w:t xml:space="preserve">in Social Policy &amp; Administration. The definitive publisher-authenticated version </w:t>
      </w:r>
      <w:r w:rsidR="00C337F4">
        <w:rPr>
          <w:rFonts w:ascii="Calibri" w:hAnsi="Calibri"/>
          <w:i/>
          <w:iCs/>
          <w:szCs w:val="22"/>
        </w:rPr>
        <w:t xml:space="preserve">is available from </w:t>
      </w:r>
      <w:hyperlink r:id="rId8" w:history="1">
        <w:r w:rsidR="00C337F4" w:rsidRPr="00B82DCC">
          <w:rPr>
            <w:rStyle w:val="Hyperlink"/>
            <w:rFonts w:ascii="Calibri" w:hAnsi="Calibri"/>
            <w:i/>
            <w:iCs/>
            <w:szCs w:val="22"/>
          </w:rPr>
          <w:t>http://dx.doi.org/10.1111/spol.</w:t>
        </w:r>
        <w:bookmarkStart w:id="0" w:name="_GoBack"/>
        <w:bookmarkEnd w:id="0"/>
        <w:r w:rsidR="00C337F4" w:rsidRPr="00B82DCC">
          <w:rPr>
            <w:rStyle w:val="Hyperlink"/>
            <w:rFonts w:ascii="Calibri" w:hAnsi="Calibri"/>
            <w:i/>
            <w:iCs/>
            <w:szCs w:val="22"/>
          </w:rPr>
          <w:t>1</w:t>
        </w:r>
        <w:r w:rsidR="00C337F4" w:rsidRPr="00B82DCC">
          <w:rPr>
            <w:rStyle w:val="Hyperlink"/>
            <w:rFonts w:ascii="Calibri" w:hAnsi="Calibri"/>
            <w:i/>
            <w:iCs/>
            <w:szCs w:val="22"/>
          </w:rPr>
          <w:t>2347</w:t>
        </w:r>
      </w:hyperlink>
      <w:r w:rsidR="00C337F4">
        <w:rPr>
          <w:rFonts w:ascii="Calibri" w:hAnsi="Calibri"/>
          <w:i/>
          <w:iCs/>
          <w:szCs w:val="22"/>
        </w:rPr>
        <w:t xml:space="preserve"> (the final but not formatted (i.e. post-print) version will be available from my personal website from 10</w:t>
      </w:r>
      <w:r w:rsidR="00C337F4" w:rsidRPr="00C337F4">
        <w:rPr>
          <w:rFonts w:ascii="Calibri" w:hAnsi="Calibri"/>
          <w:i/>
          <w:iCs/>
          <w:szCs w:val="22"/>
          <w:vertAlign w:val="superscript"/>
        </w:rPr>
        <w:t>th</w:t>
      </w:r>
      <w:r w:rsidR="00C337F4">
        <w:rPr>
          <w:rFonts w:ascii="Calibri" w:hAnsi="Calibri"/>
          <w:i/>
          <w:iCs/>
          <w:szCs w:val="22"/>
        </w:rPr>
        <w:t xml:space="preserve"> July 2019). </w:t>
      </w:r>
    </w:p>
    <w:p w:rsidR="00700133" w:rsidRDefault="00700133">
      <w:pPr>
        <w:spacing w:after="200" w:line="276" w:lineRule="auto"/>
        <w:rPr>
          <w:rFonts w:ascii="Calibri" w:hAnsi="Calibri"/>
          <w:i/>
          <w:iCs/>
          <w:szCs w:val="22"/>
        </w:rPr>
      </w:pPr>
      <w:r>
        <w:rPr>
          <w:rFonts w:ascii="Calibri" w:hAnsi="Calibri"/>
          <w:i/>
          <w:iCs/>
          <w:szCs w:val="22"/>
        </w:rPr>
        <w:br w:type="page"/>
      </w:r>
    </w:p>
    <w:p w:rsidR="00700133" w:rsidRDefault="00700133">
      <w:pPr>
        <w:spacing w:after="200" w:line="276" w:lineRule="auto"/>
        <w:rPr>
          <w:rFonts w:asciiTheme="majorHAnsi" w:eastAsiaTheme="majorEastAsia" w:hAnsiTheme="majorHAnsi" w:cstheme="majorBidi"/>
          <w:color w:val="365F91" w:themeColor="accent1" w:themeShade="BF"/>
          <w:sz w:val="32"/>
          <w:szCs w:val="32"/>
        </w:rPr>
      </w:pPr>
    </w:p>
    <w:p w:rsidR="00055B94" w:rsidRPr="00516909" w:rsidRDefault="00055B94" w:rsidP="00FA71AC">
      <w:pPr>
        <w:pStyle w:val="Heading1"/>
      </w:pPr>
      <w:r w:rsidRPr="00516909">
        <w:t>Benefit ‘myths’?  The accuracy and inaccuracy of public beliefs about the benefits system</w:t>
      </w:r>
    </w:p>
    <w:p w:rsidR="00055B94" w:rsidRPr="00516909" w:rsidRDefault="00055B94" w:rsidP="00A63DDE">
      <w:pPr>
        <w:rPr>
          <w:i/>
        </w:rPr>
      </w:pPr>
      <w:r w:rsidRPr="00516909">
        <w:rPr>
          <w:i/>
        </w:rPr>
        <w:t>Ben Baumberg Geiger, University of Kent</w:t>
      </w:r>
    </w:p>
    <w:p w:rsidR="00055B94" w:rsidRPr="00516909" w:rsidRDefault="00055B94" w:rsidP="00FA71AC">
      <w:pPr>
        <w:pStyle w:val="Heading2"/>
        <w:rPr>
          <w:i/>
        </w:rPr>
      </w:pPr>
      <w:r w:rsidRPr="00516909">
        <w:rPr>
          <w:i/>
        </w:rPr>
        <w:t>Abstract</w:t>
      </w:r>
    </w:p>
    <w:p w:rsidR="00055B94" w:rsidRPr="00516909" w:rsidRDefault="00055B94" w:rsidP="005C58C5">
      <w:pPr>
        <w:rPr>
          <w:i/>
        </w:rPr>
      </w:pPr>
      <w:r w:rsidRPr="00516909">
        <w:rPr>
          <w:i/>
        </w:rPr>
        <w:t>There is a widespread assumption that negative public attitudes to the benefits system are due to ‘myths’ held by the British public. However, there is little research on whether the public believe these ‘myths’, nor critical scrutiny of benefit ‘truths’. This paper therefore investigates what British people believe about the benefits system, and the extent to which these beliefs can be regarded as correct. To do this, we use 46 measures from 18 datasets (some made available for academic study for the first time), and compare these perceptions to true figures obtained from a variety of sources. We find that – against expectations – there are some areas where people misperceive the benefits system in ways that do not seem likely to lead to harsh attitudes, or where the public are (on average) relatively accurate (e.g. the share of the population who currently claim out-of-work benefits). Yet overall, our evidence shows that the British public do have low levels of understanding of the benefits system, primarily in ways that seem likely to undermine public support.  People wildly overestimate unemployment benefits compared to pensions, and also overestimate how much unemployment claimants without children receive.  Half of people believe that out-of-work benefit claims have risen in the past fifteen years, whereas they have fallen noticeably.  And while it is difficult to know the true level of benefit fraud exactly, the public overestimate fraud compared to any reasonable figure. We conclude by discussing the implications for both understanding and changing attitudes towards benefits.</w:t>
      </w:r>
    </w:p>
    <w:p w:rsidR="00055B94" w:rsidRPr="00516909" w:rsidRDefault="00055B94" w:rsidP="005C58C5">
      <w:pPr>
        <w:rPr>
          <w:b/>
        </w:rPr>
      </w:pPr>
    </w:p>
    <w:p w:rsidR="00055B94" w:rsidRPr="00516909" w:rsidRDefault="00055B94" w:rsidP="005C58C5">
      <w:r w:rsidRPr="00516909">
        <w:rPr>
          <w:b/>
        </w:rPr>
        <w:t>Keywords</w:t>
      </w:r>
      <w:r w:rsidRPr="00516909">
        <w:t>: benefits, social security, public attitudes, myths</w:t>
      </w:r>
    </w:p>
    <w:p w:rsidR="00055B94" w:rsidRPr="00516909" w:rsidRDefault="00055B94" w:rsidP="00FA71AC">
      <w:pPr>
        <w:pStyle w:val="Heading2"/>
      </w:pPr>
      <w:r w:rsidRPr="00516909">
        <w:lastRenderedPageBreak/>
        <w:t>Introduction</w:t>
      </w:r>
    </w:p>
    <w:p w:rsidR="00055B94" w:rsidRPr="00516909" w:rsidRDefault="00055B94" w:rsidP="00345492">
      <w:r w:rsidRPr="00516909">
        <w:t xml:space="preserve">Current debates about the benefits system in Britain conventionally start from two assumptions.  The first assumption is that public attitudes towards benefit claimants have become much harsher in recent decades, a view which can be overstated, but in general </w:t>
      </w:r>
      <w:proofErr w:type="gramStart"/>
      <w:r w:rsidRPr="00516909">
        <w:t>terms is</w:t>
      </w:r>
      <w:proofErr w:type="gramEnd"/>
      <w:r w:rsidRPr="00516909">
        <w:t xml:space="preserve"> borne out by the evidence </w:t>
      </w:r>
      <w:r w:rsidRPr="00516909">
        <w:rPr>
          <w:noProof/>
        </w:rPr>
        <w:t>(Baumberg 2014)</w:t>
      </w:r>
      <w:r w:rsidRPr="00516909">
        <w:t xml:space="preserve">.  The second assumption is that this harshness is partly due to ‘myths’ that the British public hold about the benefits system </w:t>
      </w:r>
      <w:r w:rsidRPr="00516909">
        <w:rPr>
          <w:noProof/>
        </w:rPr>
        <w:t>(for a typical if well-expressed commentary, see Beresford 2013)</w:t>
      </w:r>
      <w:r w:rsidRPr="00516909">
        <w:t xml:space="preserve">.  ‘Mythbusters’ have therefore been produced by campaigning organisations ranging from </w:t>
      </w:r>
      <w:r w:rsidRPr="00516909">
        <w:rPr>
          <w:i/>
        </w:rPr>
        <w:t xml:space="preserve">inter alia </w:t>
      </w:r>
      <w:r w:rsidRPr="00516909">
        <w:t xml:space="preserve">the TUC </w:t>
      </w:r>
      <w:r w:rsidRPr="00516909">
        <w:rPr>
          <w:noProof/>
        </w:rPr>
        <w:t>(2013)</w:t>
      </w:r>
      <w:r w:rsidRPr="00516909">
        <w:t xml:space="preserve">, a coalition of churches </w:t>
      </w:r>
      <w:r>
        <w:rPr>
          <w:noProof/>
        </w:rPr>
        <w:t>(Baptist Union of Great Britain et al. 2013)</w:t>
      </w:r>
      <w:r w:rsidRPr="00516909">
        <w:t xml:space="preserve">, and think-tanks ranging from the political left </w:t>
      </w:r>
      <w:r w:rsidRPr="00516909">
        <w:rPr>
          <w:noProof/>
        </w:rPr>
        <w:t>(Coote and Lyall 2013)</w:t>
      </w:r>
      <w:r w:rsidRPr="00516909">
        <w:t xml:space="preserve"> to the right </w:t>
      </w:r>
      <w:r w:rsidRPr="00516909">
        <w:rPr>
          <w:noProof/>
        </w:rPr>
        <w:t>(Taunton-Collins 2013)</w:t>
      </w:r>
      <w:r w:rsidRPr="00516909">
        <w:t>.</w:t>
      </w:r>
      <w:r w:rsidRPr="00516909">
        <w:rPr>
          <w:vertAlign w:val="superscript"/>
        </w:rPr>
        <w:t>1</w:t>
      </w:r>
      <w:r w:rsidRPr="00516909">
        <w:t xml:space="preserve">  Academics have similarly critiqued myths, such as ‘Broken Britain’ </w:t>
      </w:r>
      <w:r w:rsidRPr="00516909">
        <w:rPr>
          <w:noProof/>
        </w:rPr>
        <w:t>(Slater 2012)</w:t>
      </w:r>
      <w:r w:rsidRPr="00516909">
        <w:t xml:space="preserve">, ‘families with three generations have never worked’ </w:t>
      </w:r>
      <w:r>
        <w:rPr>
          <w:noProof/>
        </w:rPr>
        <w:t>(MacDonald et al. 2013, Macmillan 2011)</w:t>
      </w:r>
      <w:r w:rsidRPr="00516909">
        <w:rPr>
          <w:i/>
        </w:rPr>
        <w:t xml:space="preserve"> </w:t>
      </w:r>
      <w:r w:rsidRPr="00516909">
        <w:t xml:space="preserve">and ‘workless communities’ </w:t>
      </w:r>
      <w:r>
        <w:rPr>
          <w:noProof/>
        </w:rPr>
        <w:t>(MacDonald et al. 2014)</w:t>
      </w:r>
      <w:r w:rsidRPr="00516909">
        <w:t xml:space="preserve">, while LSE Professor John Hills recently subtitled his new book ‘the welfare myth of them and us’ </w:t>
      </w:r>
      <w:r w:rsidRPr="00516909">
        <w:rPr>
          <w:noProof/>
        </w:rPr>
        <w:t>(Hills 2014)</w:t>
      </w:r>
      <w:r w:rsidRPr="00516909">
        <w:t xml:space="preserve">. </w:t>
      </w:r>
    </w:p>
    <w:p w:rsidR="00055B94" w:rsidRPr="00516909" w:rsidRDefault="00055B94" w:rsidP="00080C2F"/>
    <w:p w:rsidR="00055B94" w:rsidRPr="00516909" w:rsidRDefault="00055B94" w:rsidP="00BB320F">
      <w:r w:rsidRPr="00516909">
        <w:t xml:space="preserve">Yet while these mythbusters have fact-checked claims by politicians and the media (itself an important role, to which we return in the Conclusion), there has been almost no academic study on whether the public actually believe these ‘myths’ about the benefits system.  This is despite burgeoning academic literatures on public knowledge in other domains, particularly political knowledge </w:t>
      </w:r>
      <w:r>
        <w:rPr>
          <w:noProof/>
        </w:rPr>
        <w:t>(Carpini and Keeter 1996, Bullock et al. 2013)</w:t>
      </w:r>
      <w:r w:rsidRPr="00516909">
        <w:t xml:space="preserve">, but also economics </w:t>
      </w:r>
      <w:r w:rsidRPr="00516909">
        <w:rPr>
          <w:noProof/>
        </w:rPr>
        <w:t>(Blinder and Krueger 2004)</w:t>
      </w:r>
      <w:r w:rsidRPr="00516909">
        <w:t xml:space="preserve">, inequality </w:t>
      </w:r>
      <w:r>
        <w:rPr>
          <w:noProof/>
        </w:rPr>
        <w:t>(Kuziemko et al. 2015)</w:t>
      </w:r>
      <w:r w:rsidRPr="00516909">
        <w:t xml:space="preserve">, ethnicity, and migration </w:t>
      </w:r>
      <w:r>
        <w:rPr>
          <w:noProof/>
        </w:rPr>
        <w:t>(Alba et al. 2005, Herda 2010)</w:t>
      </w:r>
      <w:r w:rsidRPr="00516909">
        <w:t xml:space="preserve">.  In contrast, there are only a handful of academic studies over the past thirty years that examine benefits knowledge in Britain, and even these only cover a small subset of the key issues </w:t>
      </w:r>
      <w:r>
        <w:rPr>
          <w:noProof/>
        </w:rPr>
        <w:t>(Taylor-Gooby et al. 2003, Golding and Middleton 1982)</w:t>
      </w:r>
      <w:r w:rsidRPr="00516909">
        <w:t xml:space="preserve">.   Moreover, across many of these fields of knowledge there is an absence of critical scrutiny about the ‘truth’ that is contrasted to these ‘myths’.  This is particularly surprising given the uncertainty inherent in the social scientific </w:t>
      </w:r>
      <w:r w:rsidRPr="00516909">
        <w:lastRenderedPageBreak/>
        <w:t xml:space="preserve">enterprise </w:t>
      </w:r>
      <w:r w:rsidRPr="00516909">
        <w:rPr>
          <w:noProof/>
        </w:rPr>
        <w:t>(e.g. Flvybjerg 2001)</w:t>
      </w:r>
      <w:r w:rsidRPr="00516909">
        <w:t>; sometimes these claimed ‘truths’ are themselves wrong, and at extremes ‘mythbusting’ can be a way of asserting particular viewpoints as the truth, as we shall see.</w:t>
      </w:r>
    </w:p>
    <w:p w:rsidR="00055B94" w:rsidRPr="00516909" w:rsidRDefault="00055B94" w:rsidP="002B5677"/>
    <w:p w:rsidR="00055B94" w:rsidRDefault="00055B94" w:rsidP="002B5677">
      <w:r w:rsidRPr="00516909">
        <w:t xml:space="preserve">In this paper, we therefore investigate both the British public’s perceptions of the benefits system, and how far – and how certainly – we can describe these perceptions as ‘true’ or ‘false’.  </w:t>
      </w:r>
      <w:r>
        <w:t xml:space="preserve">We use </w:t>
      </w:r>
      <w:r w:rsidRPr="00516909">
        <w:t>eighteen datasets across six survey series, including several that are being made available for wider academic study for the first time.</w:t>
      </w:r>
      <w:r w:rsidRPr="00516909">
        <w:rPr>
          <w:vertAlign w:val="superscript"/>
        </w:rPr>
        <w:t>2</w:t>
      </w:r>
      <w:r>
        <w:t xml:space="preserve"> </w:t>
      </w:r>
      <w:proofErr w:type="gramStart"/>
      <w:r w:rsidRPr="00516909">
        <w:t>Before</w:t>
      </w:r>
      <w:proofErr w:type="gramEnd"/>
      <w:r w:rsidRPr="00516909">
        <w:t xml:space="preserve"> describing our methods in more detail, we look more closely at previous studies of policy-relevant knowledge, and define what we mean by a ‘myth’.</w:t>
      </w:r>
    </w:p>
    <w:p w:rsidR="00CD72CF" w:rsidRPr="00516909" w:rsidRDefault="00CD72CF" w:rsidP="002B5677"/>
    <w:p w:rsidR="00055B94" w:rsidRPr="00516909" w:rsidRDefault="00055B94" w:rsidP="00CD72CF">
      <w:pPr>
        <w:pStyle w:val="Heading4"/>
      </w:pPr>
      <w:r w:rsidRPr="00516909">
        <w:t>What the public knows</w:t>
      </w:r>
    </w:p>
    <w:p w:rsidR="00055B94" w:rsidRPr="00516909" w:rsidRDefault="00055B94" w:rsidP="00FB1678">
      <w:r w:rsidRPr="00516909">
        <w:t xml:space="preserve">It is a badly-kept secret that the public has poor aggregate levels of knowledge about science, social science and politics.  In Philip Converse’s words (1975), </w:t>
      </w:r>
      <w:r w:rsidRPr="00516909">
        <w:rPr>
          <w:i/>
        </w:rPr>
        <w:t>"the most familiar fact to arise from sample surveys is that popular levels of information about public affairs are, from the point of view of an informed observer, astonishingly low</w:t>
      </w:r>
      <w:r w:rsidRPr="00516909">
        <w:t xml:space="preserve">” </w:t>
      </w:r>
      <w:r>
        <w:rPr>
          <w:noProof/>
        </w:rPr>
        <w:t>(cited by Carpini 2000:132)</w:t>
      </w:r>
      <w:r w:rsidRPr="00516909">
        <w:t xml:space="preserve">.  To take some typical examples: less than half of Britons or Americans know that the earth goes around the sun once per year </w:t>
      </w:r>
      <w:r>
        <w:rPr>
          <w:noProof/>
        </w:rPr>
        <w:t>(Durant et al. 1989)</w:t>
      </w:r>
      <w:r w:rsidRPr="00516909">
        <w:t xml:space="preserve">; most people cannot name their local elected representative </w:t>
      </w:r>
      <w:r w:rsidRPr="00516909">
        <w:rPr>
          <w:noProof/>
        </w:rPr>
        <w:t>(Carpini 2000)</w:t>
      </w:r>
      <w:r w:rsidRPr="00516909">
        <w:t xml:space="preserve">; and many cannot even provide an estimate of key economic quantities like inflation at all, much less provide a correct one </w:t>
      </w:r>
      <w:r w:rsidRPr="00516909">
        <w:rPr>
          <w:rFonts w:ascii="Calibri" w:hAnsi="Calibri"/>
          <w:iCs/>
          <w:noProof/>
          <w:color w:val="000000"/>
          <w:szCs w:val="22"/>
        </w:rPr>
        <w:t>(TNS Opinion &amp; Social 2010)</w:t>
      </w:r>
      <w:r w:rsidRPr="00516909">
        <w:t xml:space="preserve">.  While it has been argued that people are often most accurate about phenomena they come into contact with </w:t>
      </w:r>
      <w:r>
        <w:rPr>
          <w:noProof/>
        </w:rPr>
        <w:t>(Taylor-Gooby et al. 2003:17)</w:t>
      </w:r>
      <w:r w:rsidRPr="00516909">
        <w:t xml:space="preserve">, there are other studies showing widespread inaccuracies in what we might term ‘experiential’ (rather than ‘learned’) knowledge.  For example, people systematically over-estimate the proportion of ethnic minorities </w:t>
      </w:r>
      <w:r>
        <w:rPr>
          <w:noProof/>
        </w:rPr>
        <w:t>(Alba et al. 2005)</w:t>
      </w:r>
      <w:r w:rsidRPr="00516909">
        <w:t xml:space="preserve">, people born abroad </w:t>
      </w:r>
      <w:r w:rsidRPr="00516909">
        <w:rPr>
          <w:noProof/>
        </w:rPr>
        <w:t>(Herda 2010)</w:t>
      </w:r>
      <w:r w:rsidRPr="00516909">
        <w:t xml:space="preserve">, homosexuality </w:t>
      </w:r>
      <w:r>
        <w:rPr>
          <w:noProof/>
        </w:rPr>
        <w:t>(Martinez et al. 2008)</w:t>
      </w:r>
      <w:r w:rsidRPr="00516909">
        <w:t xml:space="preserve">, and teenage pregnancy </w:t>
      </w:r>
      <w:r w:rsidRPr="00516909">
        <w:rPr>
          <w:rFonts w:ascii="Calibri" w:hAnsi="Calibri"/>
          <w:noProof/>
          <w:color w:val="000000"/>
          <w:szCs w:val="22"/>
        </w:rPr>
        <w:t>(Duffy 2009)</w:t>
      </w:r>
      <w:r w:rsidRPr="00516909">
        <w:rPr>
          <w:rFonts w:ascii="Calibri" w:hAnsi="Calibri"/>
          <w:color w:val="000000"/>
          <w:szCs w:val="22"/>
        </w:rPr>
        <w:t>.</w:t>
      </w:r>
    </w:p>
    <w:p w:rsidR="00055B94" w:rsidRPr="00516909" w:rsidRDefault="00055B94" w:rsidP="006C6C9D"/>
    <w:p w:rsidR="00055B94" w:rsidRPr="00516909" w:rsidRDefault="00055B94" w:rsidP="006C6C9D">
      <w:pPr>
        <w:rPr>
          <w:rFonts w:ascii="Calibri" w:hAnsi="Calibri"/>
          <w:color w:val="000000"/>
          <w:szCs w:val="22"/>
        </w:rPr>
      </w:pPr>
      <w:r w:rsidRPr="00516909">
        <w:t xml:space="preserve">However, the literature on benefits knowledge is much smaller. A few US studies look at knowledge of Social Security and find that the public are (on average) roughly accurate in terms of the average </w:t>
      </w:r>
      <w:r w:rsidRPr="00516909">
        <w:lastRenderedPageBreak/>
        <w:t xml:space="preserve">Social Security benefit check </w:t>
      </w:r>
      <w:r w:rsidRPr="00516909">
        <w:rPr>
          <w:noProof/>
        </w:rPr>
        <w:t>(Blinder and Krueger 2004)</w:t>
      </w:r>
      <w:r w:rsidRPr="00516909">
        <w:rPr>
          <w:rFonts w:ascii="Calibri" w:hAnsi="Calibri"/>
          <w:color w:val="000000"/>
          <w:szCs w:val="22"/>
        </w:rPr>
        <w:t xml:space="preserve"> and who qualifies for Social Security </w:t>
      </w:r>
      <w:r w:rsidRPr="00516909">
        <w:rPr>
          <w:rFonts w:ascii="Calibri" w:hAnsi="Calibri"/>
          <w:noProof/>
          <w:color w:val="000000"/>
          <w:szCs w:val="22"/>
        </w:rPr>
        <w:t>(Barabas 2012)</w:t>
      </w:r>
      <w:r w:rsidRPr="00516909">
        <w:rPr>
          <w:rFonts w:ascii="Calibri" w:hAnsi="Calibri"/>
          <w:color w:val="000000"/>
          <w:szCs w:val="22"/>
        </w:rPr>
        <w:t xml:space="preserve">. However, they are inconsistent in their knowledge of detailed program rules and tend to </w:t>
      </w:r>
      <w:r w:rsidRPr="00516909">
        <w:rPr>
          <w:rFonts w:ascii="Calibri" w:hAnsi="Calibri"/>
          <w:i/>
          <w:color w:val="000000"/>
          <w:szCs w:val="22"/>
        </w:rPr>
        <w:t>over</w:t>
      </w:r>
      <w:r w:rsidRPr="00516909">
        <w:rPr>
          <w:rFonts w:ascii="Calibri" w:hAnsi="Calibri"/>
          <w:color w:val="000000"/>
          <w:szCs w:val="22"/>
        </w:rPr>
        <w:t xml:space="preserve">estimate the incentive to work </w:t>
      </w:r>
      <w:r w:rsidRPr="00516909">
        <w:rPr>
          <w:rFonts w:ascii="Calibri" w:hAnsi="Calibri"/>
          <w:noProof/>
          <w:color w:val="000000"/>
          <w:szCs w:val="22"/>
        </w:rPr>
        <w:t>(Liebman and Luttmer 2012)</w:t>
      </w:r>
      <w:r w:rsidRPr="00516909">
        <w:rPr>
          <w:rFonts w:ascii="Calibri" w:hAnsi="Calibri"/>
          <w:color w:val="000000"/>
          <w:szCs w:val="22"/>
        </w:rPr>
        <w:t xml:space="preserve">, and </w:t>
      </w:r>
      <w:r w:rsidRPr="00516909">
        <w:t xml:space="preserve">while the perception that Social Security will be running deficits in future is accurate </w:t>
      </w:r>
      <w:r w:rsidRPr="00516909">
        <w:rPr>
          <w:noProof/>
        </w:rPr>
        <w:t>(Blinder and Krueger 2004)</w:t>
      </w:r>
      <w:r w:rsidRPr="00516909">
        <w:t xml:space="preserve">, the extent to which it is correct to say that the system will go ‘bankrupt’ is debatable </w:t>
      </w:r>
      <w:r w:rsidRPr="00516909">
        <w:rPr>
          <w:noProof/>
        </w:rPr>
        <w:t>(Barabas 2012)</w:t>
      </w:r>
      <w:r w:rsidRPr="00516909">
        <w:t>.</w:t>
      </w:r>
      <w:r w:rsidRPr="00516909">
        <w:rPr>
          <w:rFonts w:ascii="Calibri" w:hAnsi="Calibri"/>
          <w:color w:val="000000"/>
          <w:szCs w:val="22"/>
        </w:rPr>
        <w:t xml:space="preserve">.  Greater inaccuracies are found for welfare payments, which are perceived to be a far greater cost to Government </w:t>
      </w:r>
      <w:r>
        <w:rPr>
          <w:rFonts w:ascii="Calibri" w:hAnsi="Calibri"/>
          <w:noProof/>
          <w:color w:val="000000"/>
          <w:szCs w:val="22"/>
        </w:rPr>
        <w:t>(Jacobs and Shapiro 1999, e.g. CNN 2011)</w:t>
      </w:r>
      <w:r w:rsidRPr="00516909">
        <w:rPr>
          <w:rFonts w:ascii="Calibri" w:hAnsi="Calibri"/>
          <w:color w:val="000000"/>
          <w:szCs w:val="22"/>
        </w:rPr>
        <w:t xml:space="preserve"> and to be more valuable to claimants </w:t>
      </w:r>
      <w:r>
        <w:rPr>
          <w:rFonts w:ascii="Calibri" w:hAnsi="Calibri"/>
          <w:noProof/>
          <w:color w:val="000000"/>
          <w:szCs w:val="22"/>
        </w:rPr>
        <w:t>(Kuklinski et al. 2000)</w:t>
      </w:r>
      <w:r w:rsidRPr="00516909">
        <w:rPr>
          <w:rFonts w:ascii="Calibri" w:hAnsi="Calibri"/>
          <w:color w:val="000000"/>
          <w:szCs w:val="22"/>
        </w:rPr>
        <w:t xml:space="preserve"> than they actually are.  In the UK, there is only one relevant peer-reviewed study within the past fifteen years (although there are also several non-academic polls, as we review below).  This finds that many people are aware that the benefits system is one of the largest parts of public spending, but most wrongly think that unemployment benefits cost the state more than pensions </w:t>
      </w:r>
      <w:r>
        <w:rPr>
          <w:rFonts w:ascii="Calibri" w:hAnsi="Calibri"/>
          <w:noProof/>
          <w:color w:val="000000"/>
          <w:szCs w:val="22"/>
        </w:rPr>
        <w:t>(Taylor-Gooby et al. 2003)</w:t>
      </w:r>
      <w:r w:rsidRPr="00516909">
        <w:rPr>
          <w:rFonts w:ascii="Calibri" w:hAnsi="Calibri"/>
          <w:color w:val="000000"/>
          <w:szCs w:val="22"/>
        </w:rPr>
        <w:t xml:space="preserve">.   </w:t>
      </w:r>
    </w:p>
    <w:p w:rsidR="00055B94" w:rsidRPr="00516909" w:rsidRDefault="00055B94" w:rsidP="006C6C9D">
      <w:pPr>
        <w:rPr>
          <w:rFonts w:ascii="Calibri" w:hAnsi="Calibri"/>
          <w:color w:val="000000"/>
          <w:szCs w:val="22"/>
        </w:rPr>
      </w:pPr>
    </w:p>
    <w:p w:rsidR="00055B94" w:rsidRDefault="00055B94" w:rsidP="00FB1678">
      <w:pPr>
        <w:rPr>
          <w:rFonts w:ascii="Calibri" w:hAnsi="Calibri"/>
          <w:color w:val="000000"/>
          <w:szCs w:val="22"/>
        </w:rPr>
      </w:pPr>
      <w:r w:rsidRPr="00516909">
        <w:rPr>
          <w:rFonts w:ascii="Calibri" w:hAnsi="Calibri"/>
          <w:color w:val="000000"/>
          <w:szCs w:val="22"/>
        </w:rPr>
        <w:t xml:space="preserve">This superficially suggests a varying level of accuracy across different domains of knowledge, but the actual level of ignorance is far worse than this – for even where the public are correct </w:t>
      </w:r>
      <w:r w:rsidRPr="00516909">
        <w:rPr>
          <w:rFonts w:ascii="Calibri" w:hAnsi="Calibri"/>
          <w:i/>
          <w:color w:val="000000"/>
          <w:szCs w:val="22"/>
        </w:rPr>
        <w:t>on average</w:t>
      </w:r>
      <w:r w:rsidRPr="00516909">
        <w:rPr>
          <w:rFonts w:ascii="Calibri" w:hAnsi="Calibri"/>
          <w:color w:val="000000"/>
          <w:szCs w:val="22"/>
        </w:rPr>
        <w:t xml:space="preserve">, this does not mean that most people </w:t>
      </w:r>
      <w:r w:rsidRPr="00516909">
        <w:rPr>
          <w:rFonts w:ascii="Calibri" w:hAnsi="Calibri"/>
          <w:i/>
          <w:color w:val="000000"/>
          <w:szCs w:val="22"/>
        </w:rPr>
        <w:t>individually</w:t>
      </w:r>
      <w:r w:rsidRPr="00516909">
        <w:rPr>
          <w:rFonts w:ascii="Calibri" w:hAnsi="Calibri"/>
          <w:color w:val="000000"/>
          <w:szCs w:val="22"/>
        </w:rPr>
        <w:t xml:space="preserve"> are correct.  </w:t>
      </w:r>
      <w:proofErr w:type="spellStart"/>
      <w:r w:rsidRPr="00516909">
        <w:rPr>
          <w:rFonts w:ascii="Calibri" w:hAnsi="Calibri"/>
          <w:color w:val="000000"/>
          <w:szCs w:val="22"/>
        </w:rPr>
        <w:t>Kulinski</w:t>
      </w:r>
      <w:proofErr w:type="spellEnd"/>
      <w:r w:rsidRPr="00516909">
        <w:rPr>
          <w:rFonts w:ascii="Calibri" w:hAnsi="Calibri"/>
          <w:color w:val="000000"/>
          <w:szCs w:val="22"/>
        </w:rPr>
        <w:t xml:space="preserve"> et </w:t>
      </w:r>
      <w:proofErr w:type="spellStart"/>
      <w:r w:rsidRPr="00516909">
        <w:rPr>
          <w:rFonts w:ascii="Calibri" w:hAnsi="Calibri"/>
          <w:color w:val="000000"/>
          <w:szCs w:val="22"/>
        </w:rPr>
        <w:t>al’s</w:t>
      </w:r>
      <w:proofErr w:type="spellEnd"/>
      <w:r w:rsidRPr="00516909">
        <w:rPr>
          <w:rFonts w:ascii="Calibri" w:hAnsi="Calibri"/>
          <w:color w:val="000000"/>
          <w:szCs w:val="22"/>
        </w:rPr>
        <w:t xml:space="preserve"> </w:t>
      </w:r>
      <w:r w:rsidRPr="00516909">
        <w:rPr>
          <w:rFonts w:ascii="Calibri" w:hAnsi="Calibri"/>
          <w:noProof/>
          <w:color w:val="000000"/>
          <w:szCs w:val="22"/>
        </w:rPr>
        <w:t>(2000)</w:t>
      </w:r>
      <w:r w:rsidRPr="00516909">
        <w:rPr>
          <w:rFonts w:ascii="Calibri" w:hAnsi="Calibri"/>
          <w:color w:val="000000"/>
          <w:szCs w:val="22"/>
        </w:rPr>
        <w:t xml:space="preserve"> influential study of US welfare knowledge finds that the public on average</w:t>
      </w:r>
      <w:r w:rsidRPr="00516909">
        <w:rPr>
          <w:rFonts w:ascii="Calibri" w:hAnsi="Calibri"/>
          <w:i/>
          <w:color w:val="000000"/>
          <w:szCs w:val="22"/>
        </w:rPr>
        <w:t xml:space="preserve"> </w:t>
      </w:r>
      <w:r w:rsidRPr="00516909">
        <w:rPr>
          <w:rFonts w:ascii="Calibri" w:hAnsi="Calibri"/>
          <w:color w:val="000000"/>
          <w:szCs w:val="22"/>
        </w:rPr>
        <w:t xml:space="preserve">over-estimated the amount spent on welfare, the average welfare payment, and the proportion of people claiming welfare, but under-estimated the proportion of claimants who had been on welfare for 8+ years, and were actually correct about the proportion who were African-American.  Yet because these averages balance out different kinds of wrong answers among individuals, they found that </w:t>
      </w:r>
      <w:r w:rsidRPr="00516909">
        <w:rPr>
          <w:rFonts w:ascii="Calibri" w:hAnsi="Calibri"/>
          <w:i/>
          <w:color w:val="000000"/>
          <w:szCs w:val="22"/>
        </w:rPr>
        <w:t>"on none of the individual items did a majority, or close to it, get the fact right"</w:t>
      </w:r>
      <w:r w:rsidRPr="00516909">
        <w:rPr>
          <w:rFonts w:ascii="Calibri" w:hAnsi="Calibri"/>
          <w:color w:val="000000"/>
          <w:szCs w:val="22"/>
        </w:rPr>
        <w:t xml:space="preserve"> (p797).  The prior evidence from other countries and on other topics does not necessarily suggest that the public will consistently be biased towards negative misperceptions about benefits, but it does suggest that a widespread lack of knowledge is likely.  We examine both aspects of this in our analysis below.</w:t>
      </w:r>
    </w:p>
    <w:p w:rsidR="00CD72CF" w:rsidRPr="00516909" w:rsidRDefault="00CD72CF" w:rsidP="00FB1678">
      <w:pPr>
        <w:rPr>
          <w:rFonts w:ascii="Calibri" w:hAnsi="Calibri"/>
          <w:color w:val="000000"/>
          <w:szCs w:val="22"/>
        </w:rPr>
      </w:pPr>
    </w:p>
    <w:p w:rsidR="00055B94" w:rsidRPr="00516909" w:rsidRDefault="00055B94" w:rsidP="00CD72CF">
      <w:pPr>
        <w:pStyle w:val="Heading4"/>
      </w:pPr>
      <w:r w:rsidRPr="00516909">
        <w:lastRenderedPageBreak/>
        <w:t>Defining ‘myths’</w:t>
      </w:r>
    </w:p>
    <w:p w:rsidR="00055B94" w:rsidRPr="00516909" w:rsidRDefault="00055B94" w:rsidP="00982EF6">
      <w:pPr>
        <w:rPr>
          <w:rFonts w:ascii="Calibri" w:hAnsi="Calibri"/>
          <w:color w:val="000000"/>
        </w:rPr>
      </w:pPr>
      <w:r w:rsidRPr="00516909">
        <w:rPr>
          <w:rFonts w:ascii="Calibri" w:hAnsi="Calibri"/>
          <w:color w:val="000000"/>
        </w:rPr>
        <w:t xml:space="preserve">While not always considered in the literature on political knowledge, it is important to begin by </w:t>
      </w:r>
      <w:proofErr w:type="spellStart"/>
      <w:r w:rsidRPr="00516909">
        <w:rPr>
          <w:rFonts w:ascii="Calibri" w:hAnsi="Calibri"/>
          <w:color w:val="000000"/>
        </w:rPr>
        <w:t>teasing</w:t>
      </w:r>
      <w:proofErr w:type="spellEnd"/>
      <w:r w:rsidRPr="00516909">
        <w:rPr>
          <w:rFonts w:ascii="Calibri" w:hAnsi="Calibri"/>
          <w:color w:val="000000"/>
        </w:rPr>
        <w:t xml:space="preserve"> apart the multiple common meanings of ‘truth’ and ‘myth’.  While one meaning covers narrow truths about the world that are directly testable (which we might term ‘narrow facts’), another refers to deeper truths that lie beneath direct observation (which we might term ‘worldviews’), including ‘truth’ in a religious sense.  Societal debates – including those about the benefits system – will exist on both of these levels of simultaneously, and claims of ‘truth’ and ‘myth’ will likewise occur in both.  The former Secretary of State for Work and Pensions, Iain Duncan Smith, can say that </w:t>
      </w:r>
      <w:r w:rsidRPr="00516909">
        <w:rPr>
          <w:i/>
        </w:rPr>
        <w:t xml:space="preserve">"I have no hesitation in claiming that Britain is broken. This claim is factual" </w:t>
      </w:r>
      <w:r>
        <w:rPr>
          <w:noProof/>
        </w:rPr>
        <w:t>(in Slater 2012:962)</w:t>
      </w:r>
      <w:r w:rsidRPr="00516909">
        <w:t xml:space="preserve">, and Slater can describe this as a ‘myth’, and in both cases we accept their statements as legitimate uses of language, even though the claim is not directly about a testable proposition.  </w:t>
      </w:r>
      <w:r w:rsidRPr="00516909">
        <w:rPr>
          <w:rFonts w:ascii="Calibri" w:hAnsi="Calibri"/>
          <w:color w:val="000000"/>
        </w:rPr>
        <w:t xml:space="preserve">It is not the aim of these paper to present a new theory of the complex relationship between narrow facts and broader worldviews </w:t>
      </w:r>
      <w:r>
        <w:rPr>
          <w:rFonts w:ascii="Calibri" w:hAnsi="Calibri"/>
          <w:noProof/>
          <w:color w:val="000000"/>
        </w:rPr>
        <w:t>(which mirrors the conventional distinction between attitudes/beliefs and values, e.g. Sundberg 2014:4.1)</w:t>
      </w:r>
      <w:r w:rsidRPr="00516909">
        <w:rPr>
          <w:rFonts w:ascii="Calibri" w:hAnsi="Calibri"/>
          <w:color w:val="000000"/>
        </w:rPr>
        <w:t>; for our purposes, it is sufficient to note that worldviews are generally not amenable to social scientific investigation other than through the narrow facts that they are messily entangled with, and as such we restrict our focus here to ‘benefit myths’ conceived on the level of factual statements.</w:t>
      </w:r>
    </w:p>
    <w:p w:rsidR="00055B94" w:rsidRPr="00516909" w:rsidRDefault="00055B94" w:rsidP="00264007">
      <w:pPr>
        <w:rPr>
          <w:rFonts w:ascii="Calibri" w:hAnsi="Calibri"/>
          <w:color w:val="000000"/>
        </w:rPr>
      </w:pPr>
    </w:p>
    <w:p w:rsidR="00055B94" w:rsidRPr="00516909" w:rsidRDefault="00055B94" w:rsidP="00264007">
      <w:pPr>
        <w:rPr>
          <w:rFonts w:ascii="Calibri" w:hAnsi="Calibri"/>
          <w:color w:val="000000"/>
        </w:rPr>
      </w:pPr>
      <w:r w:rsidRPr="00516909">
        <w:rPr>
          <w:rFonts w:ascii="Calibri" w:hAnsi="Calibri"/>
          <w:color w:val="000000"/>
        </w:rPr>
        <w:t xml:space="preserve">Even having excluded this wider meaning, the idea of classifying a piece of knowledge as a ‘fact’ – </w:t>
      </w:r>
      <w:r w:rsidRPr="00516909">
        <w:rPr>
          <w:rFonts w:ascii="Calibri" w:hAnsi="Calibri"/>
          <w:i/>
          <w:color w:val="000000"/>
        </w:rPr>
        <w:t>“an item of correct information, one that accurately represents the real world”</w:t>
      </w:r>
      <w:r w:rsidRPr="00516909">
        <w:rPr>
          <w:rFonts w:ascii="Calibri" w:hAnsi="Calibri"/>
          <w:color w:val="000000"/>
        </w:rPr>
        <w:t xml:space="preserve"> </w:t>
      </w:r>
      <w:r>
        <w:rPr>
          <w:rFonts w:ascii="Calibri" w:hAnsi="Calibri"/>
          <w:noProof/>
          <w:color w:val="000000"/>
        </w:rPr>
        <w:t>(Kuklinski et al. 1998:147)</w:t>
      </w:r>
      <w:r w:rsidRPr="00516909">
        <w:rPr>
          <w:rFonts w:ascii="Calibri" w:hAnsi="Calibri"/>
          <w:color w:val="000000"/>
        </w:rPr>
        <w:t xml:space="preserve"> – is nevertheless contentious.  This is partly the ontological problem that there is no value-free way of expressing factual statements, but the primary difficulty is epistemological: even if there is a truth (within a particularly value-laden way of seeing the world), our knowledge of this truth is never certain.  So-called facts lie on a continuum of uncertainty, in which </w:t>
      </w:r>
      <w:r w:rsidRPr="00516909">
        <w:rPr>
          <w:rFonts w:ascii="Calibri" w:hAnsi="Calibri"/>
          <w:i/>
          <w:color w:val="000000"/>
        </w:rPr>
        <w:t>“some purported facts are more indisputably correct than others”</w:t>
      </w:r>
      <w:r w:rsidRPr="00516909">
        <w:rPr>
          <w:rFonts w:ascii="Calibri" w:hAnsi="Calibri"/>
          <w:color w:val="000000"/>
        </w:rPr>
        <w:t xml:space="preserve"> </w:t>
      </w:r>
      <w:r>
        <w:rPr>
          <w:rFonts w:ascii="Calibri" w:hAnsi="Calibri"/>
          <w:noProof/>
          <w:color w:val="000000"/>
        </w:rPr>
        <w:t>(Kuklinski et al. 1998:148)</w:t>
      </w:r>
      <w:r w:rsidRPr="00516909">
        <w:rPr>
          <w:rFonts w:ascii="Calibri" w:hAnsi="Calibri"/>
          <w:color w:val="000000"/>
        </w:rPr>
        <w:t xml:space="preserve">.  Any claims that the public is ‘ignorant’ of a given fact must come alongside a consideration of the extent to which our </w:t>
      </w:r>
      <w:r w:rsidRPr="00516909">
        <w:rPr>
          <w:rFonts w:ascii="Calibri" w:hAnsi="Calibri"/>
          <w:color w:val="000000"/>
        </w:rPr>
        <w:lastRenderedPageBreak/>
        <w:t>knowledge of this fact is certain, and inevitably involves a subjective judgement on the part of the speaker as where the boundary between reasonable and unreasonable interpretations lies.</w:t>
      </w:r>
    </w:p>
    <w:p w:rsidR="00055B94" w:rsidRPr="00516909" w:rsidRDefault="00055B94" w:rsidP="0076096F"/>
    <w:p w:rsidR="00055B94" w:rsidRPr="00516909" w:rsidRDefault="00055B94" w:rsidP="00676764">
      <w:pPr>
        <w:rPr>
          <w:rFonts w:ascii="Calibri" w:hAnsi="Calibri"/>
          <w:color w:val="000000"/>
          <w:szCs w:val="22"/>
        </w:rPr>
      </w:pPr>
      <w:r w:rsidRPr="00516909">
        <w:t xml:space="preserve">Moreover, it is clear that the public’s accuracy will vary according to the facts that are chosen.  There are some areas in which the public are accurate; American’s perceptions of issues such as the level of the minimum wage, median incomes and the prevalence of college degrees are ‘surprisingly accurate’ </w:t>
      </w:r>
      <w:r w:rsidRPr="00516909">
        <w:rPr>
          <w:noProof/>
        </w:rPr>
        <w:t>(according to Blinder and Krueger 2004)</w:t>
      </w:r>
      <w:r w:rsidRPr="00516909">
        <w:t xml:space="preserve">, </w:t>
      </w:r>
      <w:r w:rsidRPr="00516909">
        <w:rPr>
          <w:rFonts w:ascii="Calibri" w:hAnsi="Calibri"/>
          <w:color w:val="000000"/>
          <w:szCs w:val="22"/>
        </w:rPr>
        <w:t xml:space="preserve">while Taylor-Gooby et al (2003) found for their set of questions on the British welfare state more broadly that </w:t>
      </w:r>
      <w:r w:rsidRPr="00516909">
        <w:rPr>
          <w:rFonts w:ascii="Calibri" w:hAnsi="Calibri"/>
          <w:i/>
          <w:color w:val="000000"/>
          <w:szCs w:val="22"/>
        </w:rPr>
        <w:t>"the most striking aspect of public perceptions is their accuracy"</w:t>
      </w:r>
      <w:r w:rsidRPr="00516909">
        <w:rPr>
          <w:rFonts w:ascii="Calibri" w:hAnsi="Calibri"/>
          <w:color w:val="000000"/>
          <w:szCs w:val="22"/>
        </w:rPr>
        <w:t xml:space="preserve">.  It is not just the case that overestimates and underestimates can balance out so that the public are </w:t>
      </w:r>
      <w:r w:rsidRPr="00516909">
        <w:rPr>
          <w:rFonts w:ascii="Calibri" w:hAnsi="Calibri"/>
          <w:i/>
          <w:color w:val="000000"/>
          <w:szCs w:val="22"/>
        </w:rPr>
        <w:t xml:space="preserve">on average </w:t>
      </w:r>
      <w:r w:rsidRPr="00516909">
        <w:rPr>
          <w:rFonts w:ascii="Calibri" w:hAnsi="Calibri"/>
          <w:color w:val="000000"/>
          <w:szCs w:val="22"/>
        </w:rPr>
        <w:t>quite</w:t>
      </w:r>
      <w:r w:rsidRPr="00516909">
        <w:rPr>
          <w:rFonts w:ascii="Calibri" w:hAnsi="Calibri"/>
          <w:i/>
          <w:color w:val="000000"/>
          <w:szCs w:val="22"/>
        </w:rPr>
        <w:t xml:space="preserve"> </w:t>
      </w:r>
      <w:r w:rsidRPr="00516909">
        <w:rPr>
          <w:rFonts w:ascii="Calibri" w:hAnsi="Calibri"/>
          <w:color w:val="000000"/>
          <w:szCs w:val="22"/>
        </w:rPr>
        <w:t xml:space="preserve">accurate, but </w:t>
      </w:r>
      <w:r w:rsidRPr="00516909">
        <w:rPr>
          <w:rFonts w:ascii="Calibri" w:hAnsi="Calibri"/>
          <w:i/>
          <w:color w:val="000000"/>
          <w:szCs w:val="22"/>
        </w:rPr>
        <w:t xml:space="preserve">individual </w:t>
      </w:r>
      <w:r w:rsidRPr="00516909">
        <w:rPr>
          <w:rFonts w:ascii="Calibri" w:hAnsi="Calibri"/>
          <w:color w:val="000000"/>
          <w:szCs w:val="22"/>
        </w:rPr>
        <w:t xml:space="preserve">accuracy can likewise be common: </w:t>
      </w:r>
      <w:proofErr w:type="spellStart"/>
      <w:r w:rsidRPr="00516909">
        <w:t>Delli</w:t>
      </w:r>
      <w:proofErr w:type="spellEnd"/>
      <w:r w:rsidRPr="00516909">
        <w:t xml:space="preserve"> </w:t>
      </w:r>
      <w:proofErr w:type="spellStart"/>
      <w:r w:rsidRPr="00516909">
        <w:t>Carpini’s</w:t>
      </w:r>
      <w:proofErr w:type="spellEnd"/>
      <w:r w:rsidRPr="00516909">
        <w:t xml:space="preserve"> exhaustive review of US polls shows that accuracy across 112 domestic policy items varies from 6% to 96% </w:t>
      </w:r>
      <w:r>
        <w:rPr>
          <w:noProof/>
        </w:rPr>
        <w:t>(Carpini and Keeter 1996:80-81)</w:t>
      </w:r>
      <w:r w:rsidRPr="00516909">
        <w:t xml:space="preserve">.  It is obviously not the case that no-one knows anything about anything – nor is it reasonable to expect everyone to know everything about every issue.  In our analysis, we therefore </w:t>
      </w:r>
      <w:r w:rsidRPr="00516909">
        <w:rPr>
          <w:rFonts w:ascii="Calibri" w:hAnsi="Calibri"/>
          <w:color w:val="000000"/>
          <w:szCs w:val="22"/>
        </w:rPr>
        <w:t xml:space="preserve">review </w:t>
      </w:r>
      <w:r w:rsidRPr="00516909">
        <w:rPr>
          <w:rFonts w:ascii="Calibri" w:hAnsi="Calibri"/>
          <w:i/>
          <w:color w:val="000000"/>
          <w:szCs w:val="22"/>
        </w:rPr>
        <w:t>every</w:t>
      </w:r>
      <w:r w:rsidRPr="00516909">
        <w:rPr>
          <w:rFonts w:ascii="Calibri" w:hAnsi="Calibri"/>
          <w:color w:val="000000"/>
          <w:szCs w:val="22"/>
        </w:rPr>
        <w:t xml:space="preserve"> measure of benefit beliefs from British data that we have been able to obtain, leaving our judgement as to their respective relevance to the Conclusion.</w:t>
      </w:r>
    </w:p>
    <w:p w:rsidR="00055B94" w:rsidRDefault="00055B94" w:rsidP="00FA71AC">
      <w:pPr>
        <w:pStyle w:val="Heading2"/>
      </w:pPr>
    </w:p>
    <w:p w:rsidR="00CD72CF" w:rsidRPr="00CD72CF" w:rsidRDefault="00CD72CF" w:rsidP="00CD72CF">
      <w:pPr>
        <w:sectPr w:rsidR="00CD72CF" w:rsidRPr="00CD72CF">
          <w:footerReference w:type="default" r:id="rId9"/>
          <w:pgSz w:w="11906" w:h="16838"/>
          <w:pgMar w:top="1440" w:right="1440" w:bottom="1440" w:left="1440" w:header="708" w:footer="708" w:gutter="0"/>
          <w:cols w:space="708"/>
          <w:docGrid w:linePitch="360"/>
        </w:sectPr>
      </w:pPr>
    </w:p>
    <w:p w:rsidR="00055B94" w:rsidRPr="00516909" w:rsidRDefault="00055B94" w:rsidP="00CD72CF">
      <w:pPr>
        <w:pStyle w:val="Heading2"/>
      </w:pPr>
      <w:r w:rsidRPr="00516909">
        <w:lastRenderedPageBreak/>
        <w:t>Methods</w:t>
      </w:r>
    </w:p>
    <w:p w:rsidR="00055B94" w:rsidRPr="00516909" w:rsidRDefault="00055B94" w:rsidP="00180CEB">
      <w:r w:rsidRPr="00516909">
        <w:t>This study aimed to review the British public’s accuracy of knowledge about the benefits system in the recent past (2000-2015).  This requires two interlinked sets of analyses – one of public perceptions, another of the truth of the benefits system – which we describe in turn.</w:t>
      </w:r>
    </w:p>
    <w:p w:rsidR="00055B94" w:rsidRPr="00516909" w:rsidRDefault="00055B94" w:rsidP="00180CEB"/>
    <w:p w:rsidR="00055B94" w:rsidRPr="00516909" w:rsidRDefault="00055B94" w:rsidP="00FA71AC">
      <w:pPr>
        <w:pStyle w:val="Heading4"/>
      </w:pPr>
      <w:r w:rsidRPr="00516909">
        <w:lastRenderedPageBreak/>
        <w:t>Public perceptions</w:t>
      </w:r>
    </w:p>
    <w:p w:rsidR="00055B94" w:rsidRPr="00516909" w:rsidRDefault="00055B94" w:rsidP="00180CEB">
      <w:r w:rsidRPr="00516909">
        <w:t>To investigate public perceptions, we conduct</w:t>
      </w:r>
      <w:r>
        <w:t>ed</w:t>
      </w:r>
      <w:r w:rsidRPr="00516909">
        <w:t xml:space="preserve"> new analyses of all the datasets that we could gain access to.  After reviewing publicly available databases and contacting private survey agencies and sponsoring charities for access to their data, we obtained eighteen different datasets across six different survey series. </w:t>
      </w:r>
    </w:p>
    <w:p w:rsidR="00055B94" w:rsidRPr="00516909" w:rsidRDefault="00055B94" w:rsidP="00180CEB"/>
    <w:p w:rsidR="00055B94" w:rsidRPr="00516909" w:rsidRDefault="00055B94" w:rsidP="00BD733F">
      <w:r w:rsidRPr="00516909">
        <w:t xml:space="preserve">While full details of the surveys are given in Web Appendix 1, they can be grouped into three levels of robustness.  Firstly, the British Social Attitudes surveys (BSA, 10 waves) and the European Social Survey (ESS) are high-quality, face-to-face surveys using random samples.  Secondly, we use online panels from both </w:t>
      </w:r>
      <w:proofErr w:type="spellStart"/>
      <w:r w:rsidRPr="00516909">
        <w:t>Ipsos</w:t>
      </w:r>
      <w:proofErr w:type="spellEnd"/>
      <w:r w:rsidRPr="00516909">
        <w:t xml:space="preserve"> MORI (2 waves) and YouGov (2 waves).  Finally, we use face-to-face surveys that use less robust sampling techniques: an </w:t>
      </w:r>
      <w:proofErr w:type="spellStart"/>
      <w:r w:rsidRPr="00516909">
        <w:t>Ipsos</w:t>
      </w:r>
      <w:proofErr w:type="spellEnd"/>
      <w:r w:rsidRPr="00516909">
        <w:t xml:space="preserve"> MORI face-to-face survey (based on a high-quality quota sample within randomly selected areas) and the European Commission’s survey Eurobarometer (EB, 2 waves).  In quality terms these are likely to lie between the online panels and full random surveys.   Basic descriptive characteristics of each survey are shown in Web Appendix 2.</w:t>
      </w:r>
    </w:p>
    <w:p w:rsidR="00055B94" w:rsidRPr="00516909" w:rsidRDefault="00055B94" w:rsidP="00180CEB"/>
    <w:p w:rsidR="00055B94" w:rsidRPr="00516909" w:rsidRDefault="00055B94" w:rsidP="00180CEB">
      <w:r w:rsidRPr="00516909">
        <w:t xml:space="preserve">These sampling differences must be borne in mind when interpreting the results below.  Online panels are increasingly used in social research and generally show similar distributions of political variables to face-to-face surveys using random samples, but we would expect the samples to be slightly skewed towards those with greater political interest/knowledge </w:t>
      </w:r>
      <w:r>
        <w:rPr>
          <w:noProof/>
        </w:rPr>
        <w:t>(Sanders et al. 2007, Liu and Wang 2014)</w:t>
      </w:r>
      <w:r w:rsidRPr="00516909">
        <w:t>.  Levels of knowledge from the online panels are therefore likely to be upper bounds on population values, and the results should not be treated as unquestionable ‘facts’ about public knowledge, but rather as the best estimate of such knowledge that is presently available.</w:t>
      </w:r>
    </w:p>
    <w:p w:rsidR="00055B94" w:rsidRPr="00516909" w:rsidRDefault="00055B94" w:rsidP="003D7176"/>
    <w:p w:rsidR="00055B94" w:rsidRPr="00516909" w:rsidRDefault="00055B94" w:rsidP="00FA71AC">
      <w:pPr>
        <w:pStyle w:val="Heading4"/>
      </w:pPr>
      <w:r w:rsidRPr="00516909">
        <w:t>Defining ‘myths’</w:t>
      </w:r>
    </w:p>
    <w:p w:rsidR="00055B94" w:rsidRPr="00516909" w:rsidRDefault="00055B94" w:rsidP="002235B4">
      <w:r>
        <w:t>T</w:t>
      </w:r>
      <w:r w:rsidRPr="00516909">
        <w:t xml:space="preserve">o define the ‘correct’ response we must make a subjective judgement about the boundaries of reasonable beliefs, given inherent uncertainty about the truth.  We explain this case-by-case below.  </w:t>
      </w:r>
      <w:r w:rsidRPr="00516909">
        <w:lastRenderedPageBreak/>
        <w:t xml:space="preserve">For questions where respondents are asked to state a percentage of the population, however, we adopt a general rule of using windows of ten percentage points around the correct value (or from 0-10%, if the true value is lower than 5%).  While arbitrary, this allows respondents some margin for error, and seems reasonable given respondents’ propensity to round their answers to the nearest 5% or 10%. </w:t>
      </w:r>
    </w:p>
    <w:p w:rsidR="00055B94" w:rsidRPr="00516909" w:rsidRDefault="00055B94" w:rsidP="002235B4"/>
    <w:p w:rsidR="00055B94" w:rsidRPr="00516909" w:rsidRDefault="00055B94" w:rsidP="00FA71AC">
      <w:pPr>
        <w:pStyle w:val="Heading2"/>
      </w:pPr>
      <w:r w:rsidRPr="00516909">
        <w:t>Results</w:t>
      </w:r>
    </w:p>
    <w:p w:rsidR="00055B94" w:rsidRPr="00516909" w:rsidRDefault="00055B94" w:rsidP="000841BF">
      <w:pPr>
        <w:pStyle w:val="Heading4"/>
      </w:pPr>
      <w:r w:rsidRPr="00516909">
        <w:t>Benefit fraud</w:t>
      </w:r>
    </w:p>
    <w:p w:rsidR="00055B94" w:rsidRPr="00516909" w:rsidRDefault="00055B94" w:rsidP="002751AC">
      <w:r w:rsidRPr="00516909">
        <w:t>Overestimates of benefit fraud are perhaps the most commonly cited ‘benefit myth’.  They are also an instructive case with which to begin, because whether these are indeed ‘myths’ is more complex to answer than it might appear.</w:t>
      </w:r>
    </w:p>
    <w:p w:rsidR="00055B94" w:rsidRPr="00516909" w:rsidRDefault="00055B94" w:rsidP="002751AC"/>
    <w:p w:rsidR="00055B94" w:rsidRPr="00516909" w:rsidRDefault="00055B94" w:rsidP="002751AC">
      <w:r w:rsidRPr="00516909">
        <w:t xml:space="preserve">Five different survey questions have been asked about fraud.  Mostly these ask explicitly about fraud and then clarify that this is people ‘deliberately deceiving’ the Government (the question labelled A1 in Table 1), or ‘dishonestly claiming’ (A4, A5).  However, BSA (A2-A3) asked about ‘falsely claiming’, which is likely to capture a slightly broader concept than fraud. Questions also differ in whether they ask about fraud as a percentage of </w:t>
      </w:r>
      <w:r w:rsidRPr="00516909">
        <w:rPr>
          <w:i/>
        </w:rPr>
        <w:t>claims</w:t>
      </w:r>
      <w:r w:rsidRPr="00516909">
        <w:t xml:space="preserve"> or of </w:t>
      </w:r>
      <w:r w:rsidRPr="00516909">
        <w:rPr>
          <w:i/>
        </w:rPr>
        <w:t>spending</w:t>
      </w:r>
      <w:r w:rsidRPr="00516909">
        <w:t xml:space="preserve">, and which benefits they talk about, variously ‘out-of-work benefits’, ‘welfare’, ‘unemployment benefits’ and ‘disability benefits’.  (For the wording of all questions, see Web Appendix S3).  </w:t>
      </w:r>
    </w:p>
    <w:p w:rsidR="00055B94" w:rsidRPr="00516909" w:rsidRDefault="00055B94" w:rsidP="002751AC"/>
    <w:p w:rsidR="00055B94" w:rsidRPr="00516909" w:rsidRDefault="00055B94" w:rsidP="002751AC">
      <w:r w:rsidRPr="00516909">
        <w:t xml:space="preserve">The British public’s responses to these numeric questions are shown in Table 1.  There are statistically significant differences between the different questions, although whether these are due to the question, the survey mode or the sample is unclear: for example, ‘false claiming’ in BSA is perceived to be higher than fraud in the other surveys, but this might be because the more representative sample in BSA captures more people who believe fraud to be higher.  Still, we can say </w:t>
      </w:r>
      <w:r w:rsidRPr="00516909">
        <w:lastRenderedPageBreak/>
        <w:t xml:space="preserve">with relative confidence that false claiming is perceived to be slightly higher for unemployment benefits than disability benefits, as these questions were asked to the same people (in BSA 2007).  Overall, people thought that 29-37% of claims were fraudulent or false, and 24-27% of spending was on false claims.  (Medians are lower than means, with the average person saying they thought 25-35% of claims and 20% of spending was fraudulent).    </w:t>
      </w:r>
    </w:p>
    <w:p w:rsidR="00055B94" w:rsidRPr="00516909" w:rsidRDefault="00055B94" w:rsidP="002751AC"/>
    <w:p w:rsidR="00055B94" w:rsidRPr="00516909" w:rsidRDefault="00055B94" w:rsidP="002751AC">
      <w:pPr>
        <w:rPr>
          <w:b/>
        </w:rPr>
      </w:pPr>
      <w:r w:rsidRPr="00516909">
        <w:rPr>
          <w:b/>
        </w:rPr>
        <w:t>[Table 1 about here]</w:t>
      </w:r>
    </w:p>
    <w:p w:rsidR="00055B94" w:rsidRPr="00516909" w:rsidRDefault="00055B94" w:rsidP="002751AC"/>
    <w:p w:rsidR="00055B94" w:rsidRPr="00516909" w:rsidRDefault="00055B94" w:rsidP="002751AC">
      <w:r w:rsidRPr="00516909">
        <w:t xml:space="preserve">The ‘mythbusters’ above often compare this to the official Government fraud estimates, </w:t>
      </w:r>
      <w:r>
        <w:t>b</w:t>
      </w:r>
      <w:r w:rsidRPr="00516909">
        <w:t>ut</w:t>
      </w:r>
      <w:r>
        <w:t xml:space="preserve"> there are several further considerations here</w:t>
      </w:r>
      <w:r w:rsidRPr="00516909">
        <w:t xml:space="preserve">. Firstly, some people’s definition of fraud is different from the definition enshrined in law.  For example, a substantial minority of unemployment benefit claimants are unwilling to take literally any low-status, badly-paid job </w:t>
      </w:r>
      <w:r w:rsidRPr="00516909">
        <w:rPr>
          <w:noProof/>
        </w:rPr>
        <w:t>(Lindsay and McQuaid 2004)</w:t>
      </w:r>
      <w:r w:rsidRPr="00516909">
        <w:t xml:space="preserve">.  It seems unreasonable to count this as ‘fraud’ – nearly all claimants want to work, such choosiness is shared in wider society </w:t>
      </w:r>
      <w:r>
        <w:rPr>
          <w:noProof/>
        </w:rPr>
        <w:t>(Dean and Taylor-Gooby 1992:93-96, Dunn 2010)</w:t>
      </w:r>
      <w:r w:rsidRPr="00516909">
        <w:t xml:space="preserve">, and besides, it is unclear whether claimants would be able to get these jobs – but some respondents may be defining this as ‘fraud’.  (Indeed, a majority agree that </w:t>
      </w:r>
      <w:r w:rsidRPr="00516909">
        <w:rPr>
          <w:i/>
        </w:rPr>
        <w:t>‘around here, most unemployed people could find a job if they really wanted one’</w:t>
      </w:r>
      <w:r w:rsidRPr="00516909">
        <w:t xml:space="preserve"> </w:t>
      </w:r>
      <w:r w:rsidRPr="00516909">
        <w:rPr>
          <w:noProof/>
        </w:rPr>
        <w:t>(Baumberg 2014)</w:t>
      </w:r>
      <w:r w:rsidRPr="00516909">
        <w:t xml:space="preserve">).  </w:t>
      </w:r>
    </w:p>
    <w:p w:rsidR="00055B94" w:rsidRPr="00516909" w:rsidRDefault="00055B94" w:rsidP="002751AC"/>
    <w:p w:rsidR="00055B94" w:rsidRPr="00516909" w:rsidRDefault="00055B94" w:rsidP="002751AC">
      <w:r w:rsidRPr="00516909">
        <w:t xml:space="preserve">Prompted by such a debate with the present authors, </w:t>
      </w:r>
      <w:proofErr w:type="spellStart"/>
      <w:r w:rsidRPr="00516909">
        <w:t>Ipsos</w:t>
      </w:r>
      <w:proofErr w:type="spellEnd"/>
      <w:r w:rsidRPr="00516909">
        <w:t xml:space="preserve"> MORI 2013 cleverly followed up question A4 by asking respondents to specify what they had understood as ‘fraud’.  Sizeable minorities of people described it as </w:t>
      </w:r>
      <w:r w:rsidRPr="00516909">
        <w:rPr>
          <w:i/>
        </w:rPr>
        <w:t>‘having more children so that they are entitled to more benefits’</w:t>
      </w:r>
      <w:r w:rsidRPr="00516909">
        <w:t xml:space="preserve"> (35.1% of those giving an answer), </w:t>
      </w:r>
      <w:r w:rsidRPr="00516909">
        <w:rPr>
          <w:i/>
        </w:rPr>
        <w:t>‘people claiming benefits who haven’t paid any taxes/national insurance’</w:t>
      </w:r>
      <w:r w:rsidRPr="00516909">
        <w:t xml:space="preserve"> (36.5%), and </w:t>
      </w:r>
      <w:r w:rsidRPr="00516909">
        <w:rPr>
          <w:i/>
        </w:rPr>
        <w:t>‘people from abroad/immigrants claiming benefits’</w:t>
      </w:r>
      <w:r w:rsidRPr="00516909">
        <w:t xml:space="preserve"> (46.1%), with a majority (61.6%) giving one of these responses – none of which are usually legally defined as fraud </w:t>
      </w:r>
      <w:r>
        <w:rPr>
          <w:noProof/>
        </w:rPr>
        <w:t>(and it seems that Americans hold similar views; see Farkas and Robinson 1996:12)</w:t>
      </w:r>
      <w:r w:rsidRPr="00516909">
        <w:t xml:space="preserve">.  While these responses were not as common as the behaviours that </w:t>
      </w:r>
      <w:r w:rsidRPr="00516909">
        <w:rPr>
          <w:i/>
        </w:rPr>
        <w:t>are</w:t>
      </w:r>
      <w:r w:rsidRPr="00516909">
        <w:t xml:space="preserve"> legally defined as fraud, and these views in </w:t>
      </w:r>
      <w:r w:rsidRPr="00516909">
        <w:lastRenderedPageBreak/>
        <w:t xml:space="preserve">themselves can be seen as misperceptions of a sort, we should note that some of the divergence between perceptions and reality may be a matter of mismatched definitions.  </w:t>
      </w:r>
    </w:p>
    <w:p w:rsidR="00055B94" w:rsidRPr="00516909" w:rsidRDefault="00055B94" w:rsidP="002751AC"/>
    <w:p w:rsidR="00055B94" w:rsidRPr="00516909" w:rsidRDefault="00055B94" w:rsidP="00CD15B5">
      <w:r w:rsidRPr="00516909">
        <w:t xml:space="preserve">Secondly, the official Government estimates are likely to be underestimates, because fraud is an inherently difficult concept to measure. This is not to suggest that the British Government does this badly.  In 2012/13, a random sample of 26,000 cases were reviewed, initially collating information from various Government and local authority sources before interviewing the claimant at their home (see Web Appendix 4).  The Government infers that fraud is taking place either if fraud is then investigated further and proved in court, or if the claimant terminates or changes their claim shortly after the interview, and where there is ‘a strong reason to deduce’ that this was because of the fraud-checking process.  This is best practice internationally, and was the only aspect of Government fraud management that was praised in an otherwise critical report </w:t>
      </w:r>
      <w:r>
        <w:rPr>
          <w:noProof/>
        </w:rPr>
        <w:t>(Gee et al. 2010:9)</w:t>
      </w:r>
      <w:r w:rsidRPr="00516909">
        <w:t xml:space="preserve">.  The resulting fraud estimates are indeed much lower than average fraud perceptions, varying between 0.3% of spending on incapacity benefits to 3.9% of spending on Carer’s Allowance, which if anything are lower than estimated fraud in private sector insurance </w:t>
      </w:r>
      <w:r>
        <w:rPr>
          <w:noProof/>
        </w:rPr>
        <w:t>(Viaene and Dedene 2004:318)</w:t>
      </w:r>
      <w:r w:rsidRPr="00516909">
        <w:t xml:space="preserve">.  </w:t>
      </w:r>
    </w:p>
    <w:p w:rsidR="00055B94" w:rsidRPr="00516909" w:rsidRDefault="00055B94" w:rsidP="002751AC"/>
    <w:p w:rsidR="00055B94" w:rsidRPr="00516909" w:rsidRDefault="00055B94" w:rsidP="002751AC">
      <w:r w:rsidRPr="00516909">
        <w:t xml:space="preserve">Yet inevitably some fraud will go undetected, particularly cash-in-hand earnings </w:t>
      </w:r>
      <w:r w:rsidRPr="00516909">
        <w:rPr>
          <w:noProof/>
        </w:rPr>
        <w:t>(Dean and Taylor-Gooby 1992)</w:t>
      </w:r>
      <w:r w:rsidRPr="00516909">
        <w:t>, but also some organized fraud.  Indeed, in a British Social Attitudes question in 2011, 54% thought that it was not very or not at all likely that someone who falsely claims benefits will be caught.</w:t>
      </w:r>
      <w:r w:rsidRPr="00516909">
        <w:rPr>
          <w:vertAlign w:val="superscript"/>
        </w:rPr>
        <w:t>3</w:t>
      </w:r>
      <w:r w:rsidRPr="00516909">
        <w:t xml:space="preserve"> There is therefore no definitive truth, but it goes too far to say that </w:t>
      </w:r>
      <w:r w:rsidRPr="00516909">
        <w:rPr>
          <w:i/>
        </w:rPr>
        <w:t>‘there are no reliable figures on benefit fraud’</w:t>
      </w:r>
      <w:r w:rsidRPr="00516909">
        <w:t xml:space="preserve"> </w:t>
      </w:r>
      <w:r w:rsidRPr="00516909">
        <w:rPr>
          <w:noProof/>
        </w:rPr>
        <w:t>(Taunton-Collins 2013)</w:t>
      </w:r>
      <w:r w:rsidRPr="00516909">
        <w:t xml:space="preserve">.  Instead, we can (subjectively) divide reasonable from unreasonable perceptions of fraud.  Given the difficulty in inferring ‘fraudulent intent’, it seems unreasonable to consider a perception to be false if it is close to the estimate for fraud and claimant error combined (see Web Appendix 4).  </w:t>
      </w:r>
      <w:r>
        <w:t>T</w:t>
      </w:r>
      <w:r w:rsidRPr="00516909">
        <w:t xml:space="preserve">he available fraud </w:t>
      </w:r>
      <w:r>
        <w:t xml:space="preserve">plus claimant error </w:t>
      </w:r>
      <w:r w:rsidRPr="00516909">
        <w:t xml:space="preserve">estimates are all below 5%, </w:t>
      </w:r>
      <w:r>
        <w:t xml:space="preserve">so </w:t>
      </w:r>
      <w:r w:rsidRPr="00516909">
        <w:t xml:space="preserve">the range </w:t>
      </w:r>
      <w:r>
        <w:t xml:space="preserve">considered </w:t>
      </w:r>
      <w:proofErr w:type="gramStart"/>
      <w:r>
        <w:t>to be</w:t>
      </w:r>
      <w:proofErr w:type="gramEnd"/>
      <w:r>
        <w:t xml:space="preserve"> </w:t>
      </w:r>
      <w:r w:rsidRPr="00516909">
        <w:t xml:space="preserve">correct is 0-10%.  </w:t>
      </w:r>
    </w:p>
    <w:p w:rsidR="00055B94" w:rsidRPr="00516909" w:rsidRDefault="00055B94" w:rsidP="002751AC"/>
    <w:p w:rsidR="00055B94" w:rsidRPr="00516909" w:rsidRDefault="00055B94" w:rsidP="002751AC">
      <w:r w:rsidRPr="00516909">
        <w:lastRenderedPageBreak/>
        <w:t xml:space="preserve">From this, we classify 27-37% of respondents as correct in the three most specific questions (which falls to 15-19% correctness in the BSA questions, if we treat ‘false claims’ as equivalent to fraud).  In two of these surveys, 61-63% overestimated the level of fraud and &lt;10% said they did not know; in the third survey (MORI web 2013), 45% gave overestimates and 28% were ‘don’t knows’.  In other words, a substantial minority of people accurately perceive the level of benefits fraud, but most people give overestimates.  </w:t>
      </w:r>
      <w:r w:rsidRPr="00516909">
        <w:rPr>
          <w:rFonts w:ascii="Calibri" w:hAnsi="Calibri"/>
          <w:color w:val="000000"/>
          <w:szCs w:val="22"/>
        </w:rPr>
        <w:t xml:space="preserve">Further evidence for such misperceptions comes from the National Benefit Fraud Hotline 2009-10, where &lt;5% of calls led to claim being regarded as either fraud or error </w:t>
      </w:r>
      <w:r w:rsidRPr="00516909">
        <w:rPr>
          <w:rFonts w:ascii="Calibri" w:hAnsi="Calibri"/>
          <w:noProof/>
          <w:color w:val="000000"/>
          <w:szCs w:val="22"/>
        </w:rPr>
        <w:t>(FullFact 2011)</w:t>
      </w:r>
      <w:r w:rsidRPr="00516909">
        <w:rPr>
          <w:rFonts w:ascii="Calibri" w:hAnsi="Calibri"/>
          <w:color w:val="000000"/>
          <w:szCs w:val="22"/>
        </w:rPr>
        <w:t>.  It is perhaps no surprise that t</w:t>
      </w:r>
      <w:r w:rsidRPr="00516909">
        <w:t xml:space="preserve">he Government themselves have similarly accepted that </w:t>
      </w:r>
      <w:r w:rsidRPr="00516909">
        <w:rPr>
          <w:i/>
        </w:rPr>
        <w:t>“</w:t>
      </w:r>
      <w:r w:rsidRPr="00516909">
        <w:rPr>
          <w:rFonts w:ascii="Calibri" w:hAnsi="Calibri"/>
          <w:i/>
          <w:color w:val="000000"/>
          <w:szCs w:val="22"/>
        </w:rPr>
        <w:t>public perceptions of fraud in the benefit system do not reflect the situation”</w:t>
      </w:r>
      <w:r w:rsidRPr="00516909">
        <w:rPr>
          <w:rFonts w:ascii="Calibri" w:hAnsi="Calibri"/>
          <w:color w:val="000000"/>
          <w:szCs w:val="22"/>
        </w:rPr>
        <w:t xml:space="preserve"> </w:t>
      </w:r>
      <w:r>
        <w:rPr>
          <w:rFonts w:ascii="Calibri" w:hAnsi="Calibri"/>
          <w:noProof/>
          <w:color w:val="000000"/>
          <w:szCs w:val="22"/>
        </w:rPr>
        <w:t>(HM Government 2014, Appendix 1)</w:t>
      </w:r>
      <w:r w:rsidRPr="00516909">
        <w:rPr>
          <w:rFonts w:ascii="Calibri" w:hAnsi="Calibri"/>
          <w:color w:val="000000"/>
          <w:szCs w:val="22"/>
        </w:rPr>
        <w:t>.</w:t>
      </w:r>
      <w:r w:rsidRPr="00516909">
        <w:rPr>
          <w:rFonts w:ascii="Segoe UI" w:hAnsi="Segoe UI" w:cs="Segoe UI"/>
          <w:sz w:val="18"/>
          <w:szCs w:val="18"/>
        </w:rPr>
        <w:t xml:space="preserve">  </w:t>
      </w:r>
    </w:p>
    <w:p w:rsidR="00055B94" w:rsidRPr="00516909" w:rsidRDefault="00055B94" w:rsidP="002751AC"/>
    <w:p w:rsidR="00055B94" w:rsidRPr="00516909" w:rsidRDefault="00055B94" w:rsidP="000841BF">
      <w:pPr>
        <w:pStyle w:val="Heading4"/>
      </w:pPr>
      <w:r w:rsidRPr="00516909">
        <w:t>Benefit spending</w:t>
      </w:r>
    </w:p>
    <w:p w:rsidR="00055B94" w:rsidRPr="00516909" w:rsidRDefault="00055B94" w:rsidP="00FF2934">
      <w:r w:rsidRPr="00516909">
        <w:t xml:space="preserve">Rather than assess the exact number of billions spent on the benefits system – which would primarily test the public’s probably poor knowledge of the size of public spending in real terms – recent surveys have focused on the public’s understanding of the </w:t>
      </w:r>
      <w:r w:rsidRPr="00516909">
        <w:rPr>
          <w:i/>
        </w:rPr>
        <w:t xml:space="preserve">relative </w:t>
      </w:r>
      <w:r w:rsidRPr="00516909">
        <w:t xml:space="preserve">size of different aspects of public spending.  The true answer is harder to estimate than it may appear: terms like ‘benefits for the unemployed’ are broader than just Jobseeker’s Allowance, also including portions of other benefits such as Housing Benefit </w:t>
      </w:r>
      <w:r>
        <w:rPr>
          <w:noProof/>
        </w:rPr>
        <w:t>(a reason why Taunton-Collins 2013 critiques some of the ‘mythbusters’)</w:t>
      </w:r>
      <w:r w:rsidRPr="00516909">
        <w:t>.  Nevertheless, adding portions of these other benefits is possible, and this is an area where there is more certainty than when looking at benefit fraud (see Web Appendix 4).</w:t>
      </w:r>
    </w:p>
    <w:p w:rsidR="00055B94" w:rsidRPr="00516909" w:rsidRDefault="00055B94" w:rsidP="00FF2934"/>
    <w:p w:rsidR="00055B94" w:rsidRPr="00516909" w:rsidRDefault="00055B94" w:rsidP="00FF2934">
      <w:pPr>
        <w:rPr>
          <w:b/>
        </w:rPr>
      </w:pPr>
      <w:r w:rsidRPr="00516909">
        <w:rPr>
          <w:b/>
        </w:rPr>
        <w:t>[Table 2 about here]</w:t>
      </w:r>
    </w:p>
    <w:p w:rsidR="00055B94" w:rsidRPr="00516909" w:rsidRDefault="00055B94" w:rsidP="00FF2934"/>
    <w:p w:rsidR="00055B94" w:rsidRPr="00516909" w:rsidRDefault="00055B94" w:rsidP="00FF2934">
      <w:r w:rsidRPr="00516909">
        <w:t xml:space="preserve">Within public spending as a whole, social security is the largest single component – and this is moderately well-known.  (Questions that ask respondents to choose the correct answer from a list of categories, as in this case, are shown in Table 2).  In 2001, around half (49%) of people thought that </w:t>
      </w:r>
      <w:r w:rsidRPr="00516909">
        <w:lastRenderedPageBreak/>
        <w:t xml:space="preserve">social security benefits were one of the top two areas of government spending (with 31% knowing that it was the highest), with very few (2%) thinking it was the area of lowest spending (B1, B2, B4).  A more recent question similarly found that around half (52%) thought that working-age benefits and/or state pensions were one of the 2-3 largest areas of public spending (B3).  Knowledge of other areas of public spending is more inconsistent: </w:t>
      </w:r>
      <w:r>
        <w:t xml:space="preserve">only </w:t>
      </w:r>
      <w:r w:rsidRPr="00516909">
        <w:t xml:space="preserve">9% managed to name all of the top 2-3 areas of spending </w:t>
      </w:r>
      <w:r>
        <w:t>(</w:t>
      </w:r>
      <w:r w:rsidRPr="00516909">
        <w:t>working age benefits, state pensions, and health; B3).</w:t>
      </w:r>
    </w:p>
    <w:p w:rsidR="00055B94" w:rsidRPr="00516909" w:rsidRDefault="00055B94" w:rsidP="00FF2934"/>
    <w:p w:rsidR="00055B94" w:rsidRPr="00516909" w:rsidRDefault="00055B94" w:rsidP="00FF2934">
      <w:r w:rsidRPr="0069533B">
        <w:rPr>
          <w:i/>
        </w:rPr>
        <w:t>Within</w:t>
      </w:r>
      <w:r w:rsidRPr="00516909">
        <w:t xml:space="preserve"> the social security budget, levels of knowledge deteriorate.  Only 27% of people knew that retirement pensions were the largest area of spending in 2001, with far more people (44%) saying that unemployment benefits were largest (B5-7).  More </w:t>
      </w:r>
      <w:proofErr w:type="gramStart"/>
      <w:r w:rsidRPr="00516909">
        <w:t>recently,</w:t>
      </w:r>
      <w:proofErr w:type="gramEnd"/>
      <w:r w:rsidRPr="00516909">
        <w:t xml:space="preserve"> and when given a straight choice, people were split as to whether Jobseeker’s Allowance or state pensions were more expensive (B8).  To put this in context, state pensions cost around </w:t>
      </w:r>
      <w:r w:rsidRPr="00516909">
        <w:rPr>
          <w:i/>
        </w:rPr>
        <w:t xml:space="preserve">ten times </w:t>
      </w:r>
      <w:r w:rsidRPr="00516909">
        <w:t xml:space="preserve">as much as unemployment benefits throughout this period.  The same picture of overestimating unemployment benefits and underestimating pensions comes from a variety of other questions, whether on the share of the ‘welfare budget’ that goes on unemployment benefits (A6), </w:t>
      </w:r>
      <w:r>
        <w:t xml:space="preserve">or </w:t>
      </w:r>
      <w:r w:rsidRPr="00516909">
        <w:t>how much raising the state pension age would save (B9).</w:t>
      </w:r>
      <w:r w:rsidRPr="00516909">
        <w:rPr>
          <w:i/>
        </w:rPr>
        <w:t xml:space="preserve">  </w:t>
      </w:r>
      <w:r w:rsidRPr="00516909">
        <w:t>Even accepting that the unemployment benefit costs are slightly underestimated (see Web Appendix 4), the public’s average perceptions seem wildly inaccurate.</w:t>
      </w:r>
    </w:p>
    <w:p w:rsidR="00055B94" w:rsidRPr="00516909" w:rsidRDefault="00055B94" w:rsidP="00FF2934"/>
    <w:p w:rsidR="00055B94" w:rsidRPr="00516909" w:rsidRDefault="00055B94" w:rsidP="00FF2934">
      <w:r w:rsidRPr="00516909">
        <w:t xml:space="preserve">Perceptions of levels of spending on other areas of the benefits system are more inconsistent.  Only 4% in 2001 said that benefits for disabled people were the most expensive part of the social security system, and over 40% thought they were the least expensive, even though this was the second-largest area of spending behind pensions (B5-7).  At the same time, one of the highest levels of correctness for any question came when people were asked which of a number of policy options would save the least money.  Over half of respondents correctly said that stopping free bus travel or free TV licences for better-off pensioners would save the least, with only 28% giving a wrong answer (most commonly the spare room subsidy/bedroom tax), with 20% ‘don’t knows’ (B10).  It is </w:t>
      </w:r>
      <w:r w:rsidRPr="00516909">
        <w:lastRenderedPageBreak/>
        <w:t xml:space="preserve">therefore unfair to say that the public know nothing about benefit spending.  However, there seems to be a continuing and considerable misperception about the relative costs of unemployment </w:t>
      </w:r>
    </w:p>
    <w:p w:rsidR="00055B94" w:rsidRPr="00516909" w:rsidRDefault="00055B94" w:rsidP="00FF2934">
      <w:proofErr w:type="gramStart"/>
      <w:r w:rsidRPr="00516909">
        <w:t>benefits</w:t>
      </w:r>
      <w:proofErr w:type="gramEnd"/>
      <w:r w:rsidRPr="00516909">
        <w:t xml:space="preserve"> and state pensions.</w:t>
      </w:r>
    </w:p>
    <w:p w:rsidR="00055B94" w:rsidRPr="00516909" w:rsidRDefault="00055B94" w:rsidP="00E62359"/>
    <w:p w:rsidR="00055B94" w:rsidRPr="00516909" w:rsidRDefault="00055B94" w:rsidP="008948C0">
      <w:pPr>
        <w:pStyle w:val="Heading4"/>
      </w:pPr>
      <w:r w:rsidRPr="00516909">
        <w:t>Extent of benefit claims</w:t>
      </w:r>
    </w:p>
    <w:p w:rsidR="00055B94" w:rsidRPr="00516909" w:rsidRDefault="00055B94" w:rsidP="00747987">
      <w:r w:rsidRPr="00516909">
        <w:t xml:space="preserve">There are two obvious explanations for why people may overestimate spending on unemployment benefits – either people overestimate the number of claimants, or they overestimate the amount such claimants receive.  The </w:t>
      </w:r>
      <w:r>
        <w:t>true</w:t>
      </w:r>
      <w:r w:rsidRPr="00516909">
        <w:t xml:space="preserve"> extent of benefit claims is relatively straightforward to estimate, although the extent of unemployment (irrespective of whether people are claiming benefits) is subject to greater uncertainty as it is based on survey responses (see Web Appendix 4). There are also widespread misunderstandings about what the ‘unemployment rate’ refers to, as it conventionally expresses unemployment as a share of the economically </w:t>
      </w:r>
      <w:r w:rsidRPr="00516909">
        <w:rPr>
          <w:i/>
        </w:rPr>
        <w:t>active</w:t>
      </w:r>
      <w:r w:rsidRPr="00516909">
        <w:t xml:space="preserve"> rather than the working-age population as a whole.</w:t>
      </w:r>
    </w:p>
    <w:p w:rsidR="00055B94" w:rsidRPr="00516909" w:rsidRDefault="00055B94" w:rsidP="004E4A5A"/>
    <w:p w:rsidR="00055B94" w:rsidRPr="00516909" w:rsidRDefault="00055B94" w:rsidP="004E4A5A">
      <w:r w:rsidRPr="00516909">
        <w:t xml:space="preserve">A number of surveys have looked at perceptions of the level of unemployment </w:t>
      </w:r>
      <w:r w:rsidRPr="00516909">
        <w:rPr>
          <w:i/>
        </w:rPr>
        <w:t>per se</w:t>
      </w:r>
      <w:r w:rsidRPr="00516909">
        <w:t xml:space="preserve">, but some of these (A7-8) have poorly designed questions that result in half or more of respondents giving ‘don’t knows’.  Ignoring these questions, the average respondent estimated that the unemployment rate as a share of the </w:t>
      </w:r>
      <w:r w:rsidRPr="00516909">
        <w:rPr>
          <w:i/>
        </w:rPr>
        <w:t xml:space="preserve">active </w:t>
      </w:r>
      <w:r w:rsidRPr="00516909">
        <w:t xml:space="preserve">population was 12% in 2010, and as a share of the </w:t>
      </w:r>
      <w:r w:rsidRPr="00516909">
        <w:rPr>
          <w:i/>
        </w:rPr>
        <w:t>total</w:t>
      </w:r>
      <w:r w:rsidRPr="00516909">
        <w:t xml:space="preserve"> working-age population was 15% in 2013 and 20-24% in 2008 (B11, A9 and B12 respectively).  Similarly, the average respondent estimated that long-term sickness and disability was 15-19% of the working-age population in 2008 (</w:t>
      </w:r>
      <w:r>
        <w:t>B13</w:t>
      </w:r>
      <w:r w:rsidRPr="00516909">
        <w:t xml:space="preserve">).  Despite the variation in these responses across surveys, and noting some uncertainty about the ‘true’ values (as above), these are all noticeably higher than the best estimates of the actual figures (8%, 6%, 4% and 6% respectively), echoing past overestimates found in Golding &amp; Middleton </w:t>
      </w:r>
      <w:r w:rsidRPr="00516909">
        <w:rPr>
          <w:rFonts w:ascii="Calibri" w:hAnsi="Calibri"/>
          <w:noProof/>
          <w:color w:val="000000"/>
        </w:rPr>
        <w:t>(1982)</w:t>
      </w:r>
      <w:r w:rsidRPr="00516909">
        <w:rPr>
          <w:rFonts w:ascii="Calibri" w:hAnsi="Calibri"/>
          <w:i/>
          <w:color w:val="000000"/>
        </w:rPr>
        <w:t xml:space="preserve">.  </w:t>
      </w:r>
      <w:r w:rsidRPr="00516909">
        <w:t>This suggests that people do indeed tend to over-estimate the level of unemployment and long-term sickness/disability.</w:t>
      </w:r>
    </w:p>
    <w:p w:rsidR="00055B94" w:rsidRPr="00516909" w:rsidRDefault="00055B94" w:rsidP="004E4A5A"/>
    <w:p w:rsidR="00055B94" w:rsidRPr="00516909" w:rsidRDefault="00055B94" w:rsidP="004E4A5A">
      <w:r w:rsidRPr="00516909">
        <w:lastRenderedPageBreak/>
        <w:t xml:space="preserve">However, when we look across all benefits (using a question kindly run by </w:t>
      </w:r>
      <w:proofErr w:type="spellStart"/>
      <w:r w:rsidRPr="00516909">
        <w:t>Ipsos</w:t>
      </w:r>
      <w:proofErr w:type="spellEnd"/>
      <w:r w:rsidRPr="00516909">
        <w:t xml:space="preserve"> MORI after conversations with the authors), the average respondent thinks that 15% of the working-age population claimed out-of-work benefits in 2015 (A10).  This is perhaps surprisingly accurate (the true figure is 11.4%)</w:t>
      </w:r>
      <w:proofErr w:type="gramStart"/>
      <w:r w:rsidRPr="00516909">
        <w:t>,</w:t>
      </w:r>
      <w:proofErr w:type="gramEnd"/>
      <w:r w:rsidRPr="00516909">
        <w:t xml:space="preserve"> particularly given that unemployment itself is so overestimated.  Indeed, the median perception of unemployment plus long-term sickness in ESS is at least 30%</w:t>
      </w:r>
      <w:proofErr w:type="gramStart"/>
      <w:r w:rsidRPr="00516909">
        <w:t>,</w:t>
      </w:r>
      <w:r w:rsidRPr="00516909">
        <w:rPr>
          <w:vertAlign w:val="superscript"/>
        </w:rPr>
        <w:t>4</w:t>
      </w:r>
      <w:proofErr w:type="gramEnd"/>
      <w:r w:rsidRPr="00516909">
        <w:t xml:space="preserve"> double the perceived level of out-of-work benefits in the </w:t>
      </w:r>
      <w:proofErr w:type="spellStart"/>
      <w:r w:rsidRPr="00516909">
        <w:t>Ipsos</w:t>
      </w:r>
      <w:proofErr w:type="spellEnd"/>
      <w:r w:rsidRPr="00516909">
        <w:t xml:space="preserve"> MORI poll.  This may be for methodological reasons.  Respondents are likely to be swayed by the response options presented to them </w:t>
      </w:r>
      <w:r w:rsidRPr="00516909">
        <w:rPr>
          <w:noProof/>
        </w:rPr>
        <w:t>(Schwarz 1999)</w:t>
      </w:r>
      <w:r w:rsidRPr="00516909">
        <w:t>, and so the extensive sequence of high response options presented in ESS may bias respondents to higher estimates.  Alternatively, ESS may be more nationally representative than the other surveys that are liable to be biased towards more knowledgeable respondents (as above)</w:t>
      </w:r>
      <w:r>
        <w:t xml:space="preserve">, or that people are aware that many </w:t>
      </w:r>
      <w:r w:rsidRPr="00516909">
        <w:t>unemployed/disabled people do not claim benefits</w:t>
      </w:r>
      <w:r>
        <w:t>.</w:t>
      </w:r>
    </w:p>
    <w:p w:rsidR="00055B94" w:rsidRPr="00516909" w:rsidRDefault="00055B94" w:rsidP="0009349A"/>
    <w:p w:rsidR="00055B94" w:rsidRPr="00516909" w:rsidRDefault="00055B94" w:rsidP="0009349A">
      <w:r>
        <w:t xml:space="preserve">In terms of accuracy, </w:t>
      </w:r>
      <w:r w:rsidRPr="00516909">
        <w:t xml:space="preserve">we consistently see that only a minority (19-30%) – a considerable one, but still very much a minority – of the British public give a (roughly) correct answer to any of these questions.  In nearly all cases the incorrect responses were </w:t>
      </w:r>
      <w:r w:rsidRPr="00516909">
        <w:rPr>
          <w:i/>
        </w:rPr>
        <w:t>over</w:t>
      </w:r>
      <w:r w:rsidRPr="00516909">
        <w:t xml:space="preserve">-estimates of the levels of unemployment, sickness/disability or out-of-work benefit claims.  It is nevertheless worth highlighting that in 2015, a substantial minority (23%) </w:t>
      </w:r>
      <w:r w:rsidRPr="00516909">
        <w:rPr>
          <w:i/>
        </w:rPr>
        <w:t>under</w:t>
      </w:r>
      <w:r w:rsidRPr="00516909">
        <w:t xml:space="preserve">estimate the level of out-of-work benefit claims.  </w:t>
      </w:r>
    </w:p>
    <w:p w:rsidR="00055B94" w:rsidRPr="00516909" w:rsidRDefault="00055B94" w:rsidP="004E4A5A"/>
    <w:p w:rsidR="00055B94" w:rsidRPr="00516909" w:rsidRDefault="00055B94" w:rsidP="004E4A5A">
      <w:r w:rsidRPr="00516909">
        <w:t xml:space="preserve">Finally, we can also look at perceived </w:t>
      </w:r>
      <w:r w:rsidRPr="00516909">
        <w:rPr>
          <w:i/>
        </w:rPr>
        <w:t>trends</w:t>
      </w:r>
      <w:r w:rsidRPr="00516909">
        <w:t xml:space="preserve"> in out-of-work benefit claims (A10-A12).  Overall, the average respondent in 2015 thought that benefit claims had risen fractionally since 2000, in contrast to administrative data showing they have fallen noticeably (from 14.3% to 11.4% of the working-age population).   However, there was a large spread of responses, with 34% perceiving a fall in benefit claims over time, 16% no change, and 50% perceiving a rise.  If we define ‘correct’ as a decline of roughly the correct size (from a minimum of a one percentage point decline to a maximum of seven percentage points, half the initial level), then only 21% are correct, with 66% over-estimating the </w:t>
      </w:r>
      <w:r w:rsidRPr="00516909">
        <w:lastRenderedPageBreak/>
        <w:t>trend (i.e. thinking that claims have stayed the same or risen), and 13% under-estimating it (i.e. thinking that claims have fallen by more than they actually have).  The fall in out-of-work benefit receipt is not a widely-perceived phenomenon.</w:t>
      </w:r>
    </w:p>
    <w:p w:rsidR="00055B94" w:rsidRPr="00516909" w:rsidRDefault="00055B94" w:rsidP="004E4A5A"/>
    <w:p w:rsidR="00055B94" w:rsidRPr="00516909" w:rsidRDefault="00055B94" w:rsidP="000841BF">
      <w:pPr>
        <w:pStyle w:val="Heading4"/>
      </w:pPr>
      <w:r w:rsidRPr="00516909">
        <w:t>Value of benefits</w:t>
      </w:r>
    </w:p>
    <w:p w:rsidR="00055B94" w:rsidRPr="00516909" w:rsidRDefault="00055B94" w:rsidP="00A76EAB">
      <w:r>
        <w:t xml:space="preserve">Many people overestimate the extent of spending on unemployment benefits, as we have seen. The previous section has suggested that people overestimate the extent of unemployment </w:t>
      </w:r>
      <w:r w:rsidRPr="0069533B">
        <w:rPr>
          <w:i/>
        </w:rPr>
        <w:t>per se</w:t>
      </w:r>
      <w:r>
        <w:t xml:space="preserve">, but another </w:t>
      </w:r>
      <w:r w:rsidRPr="00516909">
        <w:t>simple explanation is that people over-estimate how much each claimant receives</w:t>
      </w:r>
      <w:r>
        <w:t xml:space="preserve"> – </w:t>
      </w:r>
      <w:r w:rsidRPr="00516909">
        <w:t>part of the wider ‘myth’ of benefit generosity referred to in many of the mythbusters.  The actual evidence that people believe this ‘myth’, however, is much more nuanced.</w:t>
      </w:r>
    </w:p>
    <w:p w:rsidR="00055B94" w:rsidRPr="00516909" w:rsidRDefault="00055B94" w:rsidP="00A76EAB"/>
    <w:p w:rsidR="00055B94" w:rsidRPr="00516909" w:rsidRDefault="00055B94" w:rsidP="00A76EAB">
      <w:r w:rsidRPr="00516909">
        <w:t xml:space="preserve">The main evidence comes from the BSA using an indirect method.  Initially, people are asked whether someone whose ‘only income comes from state benefits’ has enough to live on, given their personal situation (e.g. ‘a 25-year old unemployed woman living alone).  People are then given the true amount, and then asked again whether this person has enough to live on.  Those people who change their response to say that the person is actually harder-up than they thought are treated as </w:t>
      </w:r>
      <w:r w:rsidRPr="00516909">
        <w:rPr>
          <w:i/>
        </w:rPr>
        <w:t>overestimating</w:t>
      </w:r>
      <w:r w:rsidRPr="00516909">
        <w:t xml:space="preserve"> the true benefit, while those who change their response to say that the person is living more comfortably than they thought are treated as </w:t>
      </w:r>
      <w:r w:rsidRPr="00516909">
        <w:rPr>
          <w:i/>
        </w:rPr>
        <w:t>underestimating</w:t>
      </w:r>
      <w:r w:rsidRPr="00516909">
        <w:t xml:space="preserve"> it.  </w:t>
      </w:r>
    </w:p>
    <w:p w:rsidR="00055B94" w:rsidRPr="00516909" w:rsidRDefault="00055B94" w:rsidP="00A76EAB"/>
    <w:p w:rsidR="00055B94" w:rsidRPr="00516909" w:rsidRDefault="00055B94" w:rsidP="00A76EAB">
      <w:r w:rsidRPr="00516909">
        <w:t>Not only do these questions allow us to compare understanding of different types of benefits (the questions variously ask about carers, unemployed people, and pensioners, varied by family type), but we can also look at changes in understanding from 1994-</w:t>
      </w:r>
      <w:proofErr w:type="gramStart"/>
      <w:r w:rsidRPr="00516909">
        <w:t>2013.</w:t>
      </w:r>
      <w:r w:rsidRPr="00516909">
        <w:rPr>
          <w:vertAlign w:val="superscript"/>
        </w:rPr>
        <w:t>5</w:t>
      </w:r>
      <w:r w:rsidRPr="00516909">
        <w:t xml:space="preserve">  There</w:t>
      </w:r>
      <w:proofErr w:type="gramEnd"/>
      <w:r w:rsidRPr="00516909">
        <w:t xml:space="preserve"> are however two caveats.  Firstly, no information is given on how the ‘true’ values given in BSA are derived.  When we check these values, we find that most of them are accurate, but a few are wrong (see Web Appendix 4); we draw attention to these where relevant below.  Secondly, this question will give a lower bound </w:t>
      </w:r>
      <w:r w:rsidRPr="00516909">
        <w:lastRenderedPageBreak/>
        <w:t xml:space="preserve">estimate for people’s misperceptions, as some misperceptions will not be sufficiently large to change people’s feeling about whether benefits are enough to live on.  </w:t>
      </w:r>
    </w:p>
    <w:p w:rsidR="00055B94" w:rsidRPr="00516909" w:rsidRDefault="00055B94" w:rsidP="00A76EAB"/>
    <w:p w:rsidR="00055B94" w:rsidRPr="00516909" w:rsidRDefault="00055B94" w:rsidP="00A76EAB">
      <w:r w:rsidRPr="00516909">
        <w:t xml:space="preserve">Bearing this in mind, the results are shown in Table 3.  As the ‘mythbusters’ claim, there are indeed some benefits that people tend to overestimate.  For unemployment benefits, noticeably more people </w:t>
      </w:r>
      <w:r>
        <w:t xml:space="preserve">in recent years </w:t>
      </w:r>
      <w:r w:rsidRPr="00516909">
        <w:t>overestimate the benefit than underestimate it</w:t>
      </w:r>
      <w:r>
        <w:t xml:space="preserve"> </w:t>
      </w:r>
      <w:r w:rsidRPr="00516909">
        <w:t>(8-11% more for a single woman</w:t>
      </w:r>
      <w:r>
        <w:t xml:space="preserve">, </w:t>
      </w:r>
      <w:r w:rsidRPr="00516909">
        <w:t xml:space="preserve">27-28% more for a childless couple).  This seems to be the case for most years in which this question has been asked, although for the unemployed single woman in 1994 (the earliest year available), people were as likely to underestimate as overestimate the benefit.  Overestimates were also found in studies that ask people to give a figure for the level of benefits, including a family with two children on Supplementary Benefit in the late 1970s </w:t>
      </w:r>
      <w:r w:rsidRPr="00516909">
        <w:rPr>
          <w:noProof/>
        </w:rPr>
        <w:t>(Golding and Middleton 1982)</w:t>
      </w:r>
      <w:r w:rsidRPr="00516909">
        <w:t>, and the couple rate of unemployment benefit in 2012 (A13, notwithstanding the problems of establishing the true figure; see Web Appendix 4).</w:t>
      </w:r>
    </w:p>
    <w:p w:rsidR="00055B94" w:rsidRPr="00516909" w:rsidRDefault="00055B94" w:rsidP="00A76EAB"/>
    <w:p w:rsidR="00055B94" w:rsidRPr="00516909" w:rsidRDefault="00055B94" w:rsidP="00A76EAB">
      <w:pPr>
        <w:rPr>
          <w:b/>
        </w:rPr>
      </w:pPr>
      <w:r w:rsidRPr="00516909">
        <w:rPr>
          <w:b/>
        </w:rPr>
        <w:t>[Table 3 about here]</w:t>
      </w:r>
    </w:p>
    <w:p w:rsidR="00055B94" w:rsidRPr="00516909" w:rsidRDefault="00055B94" w:rsidP="00A76EAB"/>
    <w:p w:rsidR="00055B94" w:rsidRPr="00516909" w:rsidRDefault="00055B94" w:rsidP="00A76EAB">
      <w:r w:rsidRPr="00516909">
        <w:t xml:space="preserve">Contrary to widespread assumptions, though, people did </w:t>
      </w:r>
      <w:r w:rsidRPr="00516909">
        <w:rPr>
          <w:i/>
        </w:rPr>
        <w:t>not</w:t>
      </w:r>
      <w:r w:rsidRPr="00516909">
        <w:t xml:space="preserve"> systematically overestimate the levels of other types of benefits – indeed, in general they systematically </w:t>
      </w:r>
      <w:r w:rsidRPr="00516909">
        <w:rPr>
          <w:i/>
        </w:rPr>
        <w:t>under</w:t>
      </w:r>
      <w:r w:rsidRPr="00516909">
        <w:t>estimated them, believing that benefits were in fact lower than they really are.  This was the case for:</w:t>
      </w:r>
    </w:p>
    <w:p w:rsidR="00055B94" w:rsidRPr="00516909" w:rsidRDefault="00055B94" w:rsidP="000E7E8C">
      <w:pPr>
        <w:pStyle w:val="ListParagraph"/>
        <w:numPr>
          <w:ilvl w:val="0"/>
          <w:numId w:val="9"/>
        </w:numPr>
        <w:spacing w:before="120"/>
        <w:ind w:left="1077" w:hanging="357"/>
      </w:pPr>
      <w:r w:rsidRPr="00516909">
        <w:rPr>
          <w:i/>
        </w:rPr>
        <w:t>Carers</w:t>
      </w:r>
      <w:r w:rsidRPr="00516909">
        <w:t xml:space="preserve"> in 2005, although the ‘true’ figure here is contentious (although not strictly ‘wrong’; see Web Appendix 4).</w:t>
      </w:r>
    </w:p>
    <w:p w:rsidR="00055B94" w:rsidRPr="00516909" w:rsidRDefault="00055B94" w:rsidP="005F2A67">
      <w:pPr>
        <w:pStyle w:val="ListParagraph"/>
        <w:numPr>
          <w:ilvl w:val="0"/>
          <w:numId w:val="9"/>
        </w:numPr>
      </w:pPr>
      <w:r w:rsidRPr="00516909">
        <w:rPr>
          <w:i/>
        </w:rPr>
        <w:t xml:space="preserve">Unemployed single mothers </w:t>
      </w:r>
      <w:r w:rsidRPr="00516909">
        <w:t xml:space="preserve">for most years (1994-2004), where 14-25% more people overestimated than underestimated the benefit (falling to 4% in 2008).  This is a particularly striking finding when we consider that the BSA ‘true’ figures arbitrarily excluded Child Benefit and are therefore even lower than claimants would actually receive (see Web Appendix 4).  </w:t>
      </w:r>
    </w:p>
    <w:p w:rsidR="00055B94" w:rsidRPr="00516909" w:rsidRDefault="00055B94" w:rsidP="00C00142">
      <w:pPr>
        <w:pStyle w:val="ListParagraph"/>
        <w:numPr>
          <w:ilvl w:val="0"/>
          <w:numId w:val="9"/>
        </w:numPr>
      </w:pPr>
      <w:r w:rsidRPr="00516909">
        <w:rPr>
          <w:i/>
        </w:rPr>
        <w:lastRenderedPageBreak/>
        <w:t>Pensioners</w:t>
      </w:r>
      <w:r w:rsidRPr="00516909">
        <w:t xml:space="preserve"> 1998-2008, with 15-48% more people overestimating than underestimating the level of benefits for both pensioner couples and single pensioners.  This does not mean that most people thought pensions were too generous; even after hearing the true value, respondents were still far more likely to say that pensioners were ‘hard up’ or ‘really poor’ than had ‘more than enough to live on’ (29-64% vs. 2-11% respectively, analyses not shown).  But it does show that the assumption that most people systematically overestimate the level of state benefits is wrong.</w:t>
      </w:r>
    </w:p>
    <w:p w:rsidR="00055B94" w:rsidRPr="00516909" w:rsidRDefault="00055B94" w:rsidP="009829E3">
      <w:r w:rsidRPr="00516909">
        <w:t xml:space="preserve">It is possible to summarize this by saying that people tend to overestimate unemployment benefits, but considerably underestimate support to pensioners and unemployed families.  Yet alongside this, it is striking just how variable people’s perceptions are.  In most cases, sizeable minorities of people were </w:t>
      </w:r>
      <w:r w:rsidRPr="00516909">
        <w:rPr>
          <w:i/>
        </w:rPr>
        <w:t xml:space="preserve">both </w:t>
      </w:r>
      <w:r w:rsidRPr="00516909">
        <w:t xml:space="preserve">underestimating and overestimating the level of benefits (and as noted previously, the question design means that these are lower bounds on misperceptions).  If we look at the single question that asks people to give the exact value of unemployment benefits for a couple (A13, and noting the issues over the true value in Web Appendix 4), then over 10% estimate this as less than half of the actual value, and over 10% estimate this to be more than twice the actual value.  As Philip Converse famously put it when describing political </w:t>
      </w:r>
      <w:proofErr w:type="gramStart"/>
      <w:r w:rsidRPr="00516909">
        <w:t xml:space="preserve">knowledge  </w:t>
      </w:r>
      <w:r w:rsidRPr="00516909">
        <w:rPr>
          <w:noProof/>
        </w:rPr>
        <w:t>(</w:t>
      </w:r>
      <w:proofErr w:type="gramEnd"/>
      <w:r w:rsidRPr="00516909">
        <w:rPr>
          <w:noProof/>
        </w:rPr>
        <w:t>in Barabas 2012)</w:t>
      </w:r>
      <w:r w:rsidRPr="00516909">
        <w:t>, public knowledge has a low mean but a high variance.</w:t>
      </w:r>
    </w:p>
    <w:p w:rsidR="00055B94" w:rsidRPr="00516909" w:rsidRDefault="00055B94" w:rsidP="0073127F"/>
    <w:p w:rsidR="00055B94" w:rsidRPr="00516909" w:rsidRDefault="00055B94" w:rsidP="00F7709B">
      <w:pPr>
        <w:pStyle w:val="Heading4"/>
      </w:pPr>
      <w:r w:rsidRPr="00516909">
        <w:t xml:space="preserve">Other beliefs: better off in work, </w:t>
      </w:r>
      <w:r w:rsidR="00CD72CF">
        <w:t xml:space="preserve">and </w:t>
      </w:r>
      <w:r w:rsidRPr="00516909">
        <w:t>JSA durations</w:t>
      </w:r>
    </w:p>
    <w:p w:rsidR="00055B94" w:rsidRPr="00516909" w:rsidRDefault="00055B94" w:rsidP="00F7709B">
      <w:r w:rsidRPr="00516909">
        <w:t xml:space="preserve">Several of the mythbusters talk about the ‘myth’ that people are better-off on benefits than in-work (an argument that dates back to the principle of ‘lesser eligibility’ in the 1834 Poor Law and beyond), which depends on perceptions of incomes both out-of-work and in-work. There is some evidence that people do underestimate in-work incomes; a DWP report using similar questions to the previous section </w:t>
      </w:r>
      <w:r w:rsidRPr="00516909">
        <w:rPr>
          <w:noProof/>
        </w:rPr>
        <w:t>(Kelly 2008)</w:t>
      </w:r>
      <w:r w:rsidRPr="00516909">
        <w:t xml:space="preserve"> finds considerable underestimates of how much government support a two-parent two-child family with one earner would receive.  </w:t>
      </w:r>
    </w:p>
    <w:p w:rsidR="00055B94" w:rsidRPr="00516909" w:rsidRDefault="00055B94" w:rsidP="00F7709B"/>
    <w:p w:rsidR="00055B94" w:rsidRPr="00516909" w:rsidRDefault="00055B94" w:rsidP="00F7709B">
      <w:r w:rsidRPr="00516909">
        <w:lastRenderedPageBreak/>
        <w:t xml:space="preserve">Similarly, a TUC </w:t>
      </w:r>
      <w:proofErr w:type="spellStart"/>
      <w:r w:rsidRPr="00516909">
        <w:t>mythbuster</w:t>
      </w:r>
      <w:proofErr w:type="spellEnd"/>
      <w:r w:rsidRPr="00516909">
        <w:t xml:space="preserve"> (using B14) claims that only 21% of people know that an unemployed couple with two children would be better-off if one of them worked 30hrs/</w:t>
      </w:r>
      <w:proofErr w:type="spellStart"/>
      <w:r w:rsidRPr="00516909">
        <w:t>wk</w:t>
      </w:r>
      <w:proofErr w:type="spellEnd"/>
      <w:r w:rsidRPr="00516909">
        <w:t xml:space="preserve"> at the minimum wage.  However, the claimed ‘true figure’ here of £138/</w:t>
      </w:r>
      <w:proofErr w:type="spellStart"/>
      <w:r w:rsidRPr="00516909">
        <w:t>wk</w:t>
      </w:r>
      <w:proofErr w:type="spellEnd"/>
      <w:r w:rsidRPr="00516909">
        <w:t xml:space="preserve"> better off (see A13) is probably an over-estimate, partly because the TUC seem to have slightly over-estimated how much better-off people would be if they worked work (we make this £128), but more importantly because this figure excludes other costs and income losses that people would face in taking up employment (see Web Appendix 4).  While it still seems likely that this unemployed couple would be better-off in work (and ‘better-off calculators’ are a standard part of welfare-to-work support), the extent that perceptions match reality is difficult to estimate in the absence of further information.  </w:t>
      </w:r>
    </w:p>
    <w:p w:rsidR="00055B94" w:rsidRPr="00516909" w:rsidRDefault="00055B94" w:rsidP="00F7709B"/>
    <w:p w:rsidR="00055B94" w:rsidRDefault="00055B94" w:rsidP="00F7709B">
      <w:r w:rsidRPr="00516909">
        <w:t xml:space="preserve">While less commonly discussed than the issues above, we can also look at people’s perceptions of the duration of unemployment benefit claims.  The public’s average (mean) estimate of the proportion of Jobseeker’s Allowance claims last for at least a year is 48% in 2012 (in A15) and 38% in 2015 </w:t>
      </w:r>
      <w:r w:rsidRPr="00516909">
        <w:rPr>
          <w:noProof/>
        </w:rPr>
        <w:t>(Kellner 2015)</w:t>
      </w:r>
      <w:r w:rsidRPr="00516909">
        <w:t xml:space="preserve">.  However, the ‘true’ value claimed in the initial TUC mythbusting is 28%, whereas Kellner claims it is 10%.  The latter claim in particular is debatable – it ignores JSA claimants who temporarily leave JSA but return to claim – with more plausible figures being either 32% or 40% (see Web Appendix 4).  If we allow five percentage points either side of this as ‘correct’ (in A15), then 24% are correct, with 23% giving underestimates and 54% giving overestimates.  This seems to be an area of ignorance rather than misperception (perhaps unsurprisingly given that it is not much-discussed in public debate), with the responses being almost randomly spread from 0 to 100. </w:t>
      </w:r>
    </w:p>
    <w:p w:rsidR="00CD72CF" w:rsidRPr="00516909" w:rsidRDefault="00CD72CF" w:rsidP="00F7709B"/>
    <w:p w:rsidR="00055B94" w:rsidRPr="00516909" w:rsidRDefault="00055B94" w:rsidP="00D9607D">
      <w:pPr>
        <w:pStyle w:val="Heading2"/>
      </w:pPr>
      <w:r w:rsidRPr="00516909">
        <w:t>Discussion</w:t>
      </w:r>
    </w:p>
    <w:p w:rsidR="00055B94" w:rsidRPr="00516909" w:rsidRDefault="00055B94" w:rsidP="00A30A76">
      <w:pPr>
        <w:pStyle w:val="Heading4"/>
      </w:pPr>
      <w:r w:rsidRPr="00516909">
        <w:t>Limitations</w:t>
      </w:r>
    </w:p>
    <w:p w:rsidR="00055B94" w:rsidRPr="00516909" w:rsidRDefault="00055B94" w:rsidP="00A30A76">
      <w:pPr>
        <w:rPr>
          <w:rFonts w:ascii="Calibri" w:hAnsi="Calibri"/>
          <w:color w:val="000000"/>
        </w:rPr>
      </w:pPr>
      <w:r w:rsidRPr="00516909">
        <w:t xml:space="preserve">In talking about ‘truths’ and ‘myths’, it is necessary to be clear about the limitations of our analysis.  Firstly, there is always a risk of non-response bias in sample surveys, and such biases are likely to be </w:t>
      </w:r>
      <w:r w:rsidRPr="00516909">
        <w:lastRenderedPageBreak/>
        <w:t xml:space="preserve">greater for the online panels that we include in our review.  However, previous studies suggest that online samples will be biased to </w:t>
      </w:r>
      <w:r w:rsidRPr="00516909">
        <w:rPr>
          <w:i/>
        </w:rPr>
        <w:t>more</w:t>
      </w:r>
      <w:r w:rsidRPr="00516909">
        <w:t xml:space="preserve"> knowledgeable respondents, and the public may therefore be even less informed than our results suggest.  Secondly, our findings may not strictly reflect ‘ignorance’.  There i</w:t>
      </w:r>
      <w:r w:rsidRPr="00516909">
        <w:rPr>
          <w:rFonts w:ascii="Calibri" w:hAnsi="Calibri"/>
          <w:color w:val="000000"/>
        </w:rPr>
        <w:t xml:space="preserve">s evidence that monetary incentives increase respondents’ accuracy and decrease their partisan bias </w:t>
      </w:r>
      <w:r>
        <w:rPr>
          <w:rFonts w:ascii="Calibri" w:hAnsi="Calibri"/>
          <w:noProof/>
          <w:color w:val="000000"/>
        </w:rPr>
        <w:t>(Prior and Lupia 2008, Bullock et al. 2013)</w:t>
      </w:r>
      <w:r w:rsidRPr="00516909">
        <w:rPr>
          <w:rFonts w:ascii="Calibri" w:hAnsi="Calibri"/>
          <w:color w:val="000000"/>
        </w:rPr>
        <w:t xml:space="preserve">, and misperceptions may therefore reflect a lack of effort on the part of the respondent to provide accurate responses, with apparent ‘beliefs’ instead being justifications of politicized attitudes.  </w:t>
      </w:r>
    </w:p>
    <w:p w:rsidR="00055B94" w:rsidRPr="00516909" w:rsidRDefault="00055B94" w:rsidP="00A30A76">
      <w:pPr>
        <w:rPr>
          <w:rFonts w:ascii="Calibri" w:hAnsi="Calibri"/>
          <w:color w:val="000000"/>
        </w:rPr>
      </w:pPr>
    </w:p>
    <w:p w:rsidR="00055B94" w:rsidRPr="00516909" w:rsidRDefault="00055B94" w:rsidP="00A30A76">
      <w:pPr>
        <w:rPr>
          <w:rFonts w:ascii="Calibri" w:hAnsi="Calibri"/>
          <w:color w:val="000000"/>
        </w:rPr>
      </w:pPr>
      <w:r w:rsidRPr="00516909">
        <w:rPr>
          <w:rFonts w:ascii="Calibri" w:hAnsi="Calibri"/>
          <w:color w:val="000000"/>
        </w:rPr>
        <w:t>Finally, we unfortunately do not have unchallengeable ‘facts’ to which we can compare the public’s views – much as this is often the way that mythbusters have been framed.  Still, uncertainty is not the same as an absence of knowledge. In evaluating the accuracy of the public’s beliefs about the benefits system, we make a judgement – necessarily subjective, but both transparent and grounded in the best available evidence –  as to what the ‘truth’ is, and how close to this truth a respondent has to be to be counted as ‘correct’.  Given the wider context of encouraging better quantitative social science among academics, students and the wider public (a movement we are involved in through the Kent Q-Step Centre), we hope that the information in this paper will enable readers to interrogate the facts for themselves, rather than simply defer to them.</w:t>
      </w:r>
    </w:p>
    <w:p w:rsidR="00055B94" w:rsidRPr="00516909" w:rsidRDefault="00055B94" w:rsidP="00F457A7"/>
    <w:p w:rsidR="00055B94" w:rsidRPr="00516909" w:rsidRDefault="00055B94" w:rsidP="00A30A76">
      <w:pPr>
        <w:pStyle w:val="Heading4"/>
      </w:pPr>
      <w:r w:rsidRPr="00516909">
        <w:t>Conclusions</w:t>
      </w:r>
    </w:p>
    <w:p w:rsidR="00055B94" w:rsidRPr="00516909" w:rsidRDefault="00055B94" w:rsidP="00F457A7">
      <w:r w:rsidRPr="00516909">
        <w:t xml:space="preserve">While the idea that the British public believe negative ‘myths’ about the benefits system is widespread, there is little previous evidence as to what the public believe, and even less as to whether such beliefs are accurate.  Using 46 measures across 18 different datasets, this paper has shown – against such expectations – that there are some areas where people misperceive the benefits system in ways that do not seem likely to lead to harsh attitudes.  In particular, people tend to </w:t>
      </w:r>
      <w:r w:rsidRPr="00516909">
        <w:rPr>
          <w:i/>
        </w:rPr>
        <w:t>under</w:t>
      </w:r>
      <w:r w:rsidRPr="00516909">
        <w:t xml:space="preserve">estimate the value of benefits for pensioners and unemployed people with children.  A substantial minority (nearly one in four) also </w:t>
      </w:r>
      <w:r w:rsidRPr="00516909">
        <w:rPr>
          <w:i/>
        </w:rPr>
        <w:t>under</w:t>
      </w:r>
      <w:r w:rsidRPr="00516909">
        <w:t xml:space="preserve">estimate the level of out-of-work benefit claims.  </w:t>
      </w:r>
      <w:r w:rsidRPr="00516909">
        <w:lastRenderedPageBreak/>
        <w:t xml:space="preserve">And there are even some areas about which the public are (on average) relatively accurate.  For example, the average person is surprisingly accurate in knowing the share of the population who currently claim out-of-work benefits.  </w:t>
      </w:r>
    </w:p>
    <w:p w:rsidR="00055B94" w:rsidRPr="00516909" w:rsidRDefault="00055B94" w:rsidP="007C7C00"/>
    <w:p w:rsidR="00055B94" w:rsidRPr="00516909" w:rsidRDefault="00055B94" w:rsidP="00EC0358">
      <w:r w:rsidRPr="00516909">
        <w:t xml:space="preserve">Yet overall, this paper has shown that the authors of ‘mythbusters’ are correct. Knowledge about the benefits system is low, as even where the public are right </w:t>
      </w:r>
      <w:r w:rsidRPr="00516909">
        <w:rPr>
          <w:i/>
        </w:rPr>
        <w:t>on average</w:t>
      </w:r>
      <w:r w:rsidRPr="00516909">
        <w:t xml:space="preserve">, on almost no measure do more than one-third of </w:t>
      </w:r>
      <w:r w:rsidRPr="00516909">
        <w:rPr>
          <w:i/>
        </w:rPr>
        <w:t xml:space="preserve">individuals </w:t>
      </w:r>
      <w:r w:rsidRPr="00516909">
        <w:t>provide a correct answer as we define it. And the public are often not</w:t>
      </w:r>
      <w:r w:rsidRPr="00516909">
        <w:rPr>
          <w:i/>
        </w:rPr>
        <w:t xml:space="preserve"> </w:t>
      </w:r>
      <w:r w:rsidRPr="00516909">
        <w:t xml:space="preserve">right on average. People wildly overestimate unemployment benefits compared to pensions, and overestimate how much unemployment claimants without children receive.  Half of people believe that out-of-work benefit claims have risen in the past fifteen years, whereas they have fallen noticeably.  And while it is difficult to know the true level of benefit fraud exactly, the public overestimate fraud compared to any reasonable figure. </w:t>
      </w:r>
    </w:p>
    <w:p w:rsidR="00055B94" w:rsidRPr="00516909" w:rsidRDefault="00055B94" w:rsidP="00EC0358"/>
    <w:p w:rsidR="00055B94" w:rsidRPr="00516909" w:rsidRDefault="00055B94" w:rsidP="001C7ED3">
      <w:pPr>
        <w:pStyle w:val="Heading4"/>
      </w:pPr>
      <w:r w:rsidRPr="00516909">
        <w:t>Implications</w:t>
      </w:r>
    </w:p>
    <w:p w:rsidR="00055B94" w:rsidRPr="00516909" w:rsidRDefault="00055B94" w:rsidP="00CB3788">
      <w:pPr>
        <w:rPr>
          <w:rFonts w:ascii="Calibri" w:hAnsi="Calibri"/>
          <w:color w:val="000000"/>
        </w:rPr>
      </w:pPr>
      <w:r w:rsidRPr="00516909">
        <w:t xml:space="preserve">The implicit – and often explicit claim </w:t>
      </w:r>
      <w:r>
        <w:rPr>
          <w:noProof/>
        </w:rPr>
        <w:t>(TUC 2013, Hills 2014)</w:t>
      </w:r>
      <w:r w:rsidRPr="00516909">
        <w:t xml:space="preserve"> – in most of the mythbusters is that these myths drive negative attitudes towards benefit claimants. However, it is difficult to test empirically whether this is true. Elsewhere, we show that many – but not all – of these beliefs are associated with the view that benefit claimants are undeserving, even after controlling for people’s political affiliations </w:t>
      </w:r>
      <w:r w:rsidRPr="00516909">
        <w:rPr>
          <w:noProof/>
        </w:rPr>
        <w:t>(Baumberg Geiger In Press)</w:t>
      </w:r>
      <w:r w:rsidRPr="00516909">
        <w:t xml:space="preserve">. Based on this, and wider experimental evidence, we argue that it seems likely that people’s attitudes are linked (if in a complex way) to beliefs. </w:t>
      </w:r>
      <w:r w:rsidRPr="00516909">
        <w:rPr>
          <w:rFonts w:ascii="Calibri" w:hAnsi="Calibri"/>
          <w:color w:val="000000"/>
        </w:rPr>
        <w:t xml:space="preserve">However, there is a large caveat here: there is far more to getting public support for the benefits system than simply mythbusting – those times (e.g. post-war Britain) and places (e.g. Nordic countries) in which the public see benefit claimants as more deserving are not necessarily characterized by accurate perceptions of benefits, and the evidence suggests mythbusting itself is unlikely to consistently produce strong changes in attitudes </w:t>
      </w:r>
      <w:r>
        <w:rPr>
          <w:noProof/>
        </w:rPr>
        <w:t>(Baumberg Geiger and Meuleman In Press)</w:t>
      </w:r>
      <w:r w:rsidRPr="00516909">
        <w:rPr>
          <w:rFonts w:ascii="Calibri" w:hAnsi="Calibri"/>
          <w:color w:val="000000"/>
        </w:rPr>
        <w:t>. The role of benefit myths in public attitudes should not be overstated, yet neither should it be denied.</w:t>
      </w:r>
    </w:p>
    <w:p w:rsidR="00055B94" w:rsidRPr="00516909" w:rsidRDefault="00055B94" w:rsidP="00EC0358"/>
    <w:p w:rsidR="00055B94" w:rsidRPr="00516909" w:rsidRDefault="00055B94" w:rsidP="00CB3788">
      <w:pPr>
        <w:rPr>
          <w:rFonts w:ascii="Calibri" w:hAnsi="Calibri"/>
          <w:color w:val="000000"/>
        </w:rPr>
      </w:pPr>
      <w:r w:rsidRPr="00516909">
        <w:rPr>
          <w:rFonts w:ascii="Calibri" w:hAnsi="Calibri"/>
          <w:color w:val="000000"/>
        </w:rPr>
        <w:t xml:space="preserve">Finally, this leads us back to the ‘mythbusters’ with which we began.  It is clear that politicians and the media do encourage the public to misperceive the benefits system </w:t>
      </w:r>
      <w:r>
        <w:rPr>
          <w:rFonts w:ascii="Calibri" w:hAnsi="Calibri"/>
          <w:noProof/>
          <w:color w:val="000000"/>
        </w:rPr>
        <w:t>(see Baumberg et al. 2012)</w:t>
      </w:r>
      <w:r w:rsidRPr="00516909">
        <w:rPr>
          <w:rFonts w:ascii="Calibri" w:hAnsi="Calibri"/>
          <w:color w:val="000000"/>
        </w:rPr>
        <w:t xml:space="preserve"> – ignorance, like knowledge, is socially produced </w:t>
      </w:r>
      <w:r w:rsidRPr="00516909">
        <w:rPr>
          <w:rFonts w:ascii="Calibri" w:hAnsi="Calibri"/>
          <w:noProof/>
          <w:color w:val="000000"/>
        </w:rPr>
        <w:t>(Slater 2012)</w:t>
      </w:r>
      <w:r w:rsidRPr="00516909">
        <w:rPr>
          <w:rFonts w:ascii="Calibri" w:hAnsi="Calibri"/>
          <w:color w:val="000000"/>
        </w:rPr>
        <w:t xml:space="preserve">. The actors best placed to tackle this are the UK Statistics Authority (via changes to their Code of Practice for Statistics) and public providers of benefit statistics (not least the DWP), and the recommendations in Baumberg et al </w:t>
      </w:r>
      <w:r>
        <w:rPr>
          <w:rFonts w:ascii="Calibri" w:hAnsi="Calibri"/>
          <w:noProof/>
          <w:color w:val="000000"/>
        </w:rPr>
        <w:t>(2012:88-89)</w:t>
      </w:r>
      <w:r w:rsidRPr="00516909">
        <w:rPr>
          <w:rFonts w:ascii="Calibri" w:hAnsi="Calibri"/>
          <w:color w:val="000000"/>
        </w:rPr>
        <w:t xml:space="preserve"> therefore apply here. But to the extent that the providers of statistics are unwilling to take steps to improve public knowledge, then the best that we can do is to support those organisations that are trying to reward truthfulness and embarrass misinterpretations – such as ‘</w:t>
      </w:r>
      <w:proofErr w:type="spellStart"/>
      <w:r w:rsidRPr="00516909">
        <w:rPr>
          <w:rFonts w:ascii="Calibri" w:hAnsi="Calibri"/>
          <w:color w:val="000000"/>
        </w:rPr>
        <w:t>Fullfact</w:t>
      </w:r>
      <w:proofErr w:type="spellEnd"/>
      <w:r w:rsidRPr="00516909">
        <w:rPr>
          <w:rFonts w:ascii="Calibri" w:hAnsi="Calibri"/>
          <w:color w:val="000000"/>
        </w:rPr>
        <w:t>’ (</w:t>
      </w:r>
      <w:hyperlink r:id="rId10" w:history="1">
        <w:r w:rsidRPr="00516909">
          <w:rPr>
            <w:rStyle w:val="Hyperlink"/>
            <w:rFonts w:ascii="Calibri" w:hAnsi="Calibri"/>
          </w:rPr>
          <w:t>http://fullfact.org</w:t>
        </w:r>
      </w:hyperlink>
      <w:r w:rsidRPr="00516909">
        <w:rPr>
          <w:rFonts w:ascii="Calibri" w:hAnsi="Calibri"/>
          <w:color w:val="000000"/>
        </w:rPr>
        <w:t>) – in the hope that a society that incentivizes truthfulness in the long run will become a more truthful society.</w:t>
      </w:r>
    </w:p>
    <w:p w:rsidR="00055B94" w:rsidRPr="00516909" w:rsidRDefault="00055B94" w:rsidP="00676764">
      <w:pPr>
        <w:rPr>
          <w:rFonts w:ascii="Calibri" w:hAnsi="Calibri"/>
          <w:color w:val="000000"/>
        </w:rPr>
      </w:pPr>
    </w:p>
    <w:p w:rsidR="00055B94" w:rsidRPr="00516909" w:rsidRDefault="00055B94">
      <w:pPr>
        <w:spacing w:after="160" w:line="259" w:lineRule="auto"/>
      </w:pPr>
      <w:r w:rsidRPr="00516909">
        <w:br w:type="page"/>
      </w:r>
    </w:p>
    <w:p w:rsidR="00055B94" w:rsidRPr="00516909" w:rsidRDefault="00055B94" w:rsidP="00D638CC">
      <w:pPr>
        <w:spacing w:after="120"/>
      </w:pPr>
    </w:p>
    <w:p w:rsidR="00055B94" w:rsidRPr="00516909" w:rsidRDefault="00055B94" w:rsidP="00D638CC">
      <w:pPr>
        <w:pStyle w:val="Heading2"/>
      </w:pPr>
      <w:r w:rsidRPr="00516909">
        <w:t>Notes</w:t>
      </w:r>
    </w:p>
    <w:p w:rsidR="00055B94" w:rsidRPr="00516909" w:rsidRDefault="00055B94" w:rsidP="00516909">
      <w:pPr>
        <w:rPr>
          <w:sz w:val="20"/>
        </w:rPr>
      </w:pPr>
      <w:r w:rsidRPr="00516909">
        <w:rPr>
          <w:sz w:val="20"/>
        </w:rPr>
        <w:t xml:space="preserve">Particular thanks to Bobby Duffy and Charlotte Saunders at </w:t>
      </w:r>
      <w:proofErr w:type="spellStart"/>
      <w:r w:rsidRPr="00516909">
        <w:rPr>
          <w:sz w:val="20"/>
        </w:rPr>
        <w:t>Ipsos</w:t>
      </w:r>
      <w:proofErr w:type="spellEnd"/>
      <w:r w:rsidRPr="00516909">
        <w:rPr>
          <w:sz w:val="20"/>
        </w:rPr>
        <w:t xml:space="preserve"> MORI for insightful comments as well as invaluable data, and to Declan Gaffney and Kate Bell for collaborating on the initial work that led to this project. Thanks too to the other survey agencies (</w:t>
      </w:r>
      <w:proofErr w:type="spellStart"/>
      <w:r w:rsidRPr="00516909">
        <w:rPr>
          <w:sz w:val="20"/>
        </w:rPr>
        <w:t>NatCen</w:t>
      </w:r>
      <w:proofErr w:type="spellEnd"/>
      <w:r w:rsidRPr="00516909">
        <w:rPr>
          <w:sz w:val="20"/>
        </w:rPr>
        <w:t xml:space="preserve">, ESS, YouGov) and sponsors (Elizabeth Finn Care/turn2us, TUC, RSS, Kings College London, the European Commission, and multiple other sponsors of BSA &amp; ESS). The paper benefitted from discussions with John Hudson, Neil Lunt, Ruth Patrick, Rob de Vries, and participants at the Social Policy Association conference 2015 and a Shelter-University of York event 2015. </w:t>
      </w:r>
    </w:p>
    <w:p w:rsidR="00055B94" w:rsidRPr="00516909" w:rsidRDefault="00055B94" w:rsidP="00516909">
      <w:pPr>
        <w:rPr>
          <w:sz w:val="20"/>
        </w:rPr>
      </w:pPr>
    </w:p>
    <w:p w:rsidR="00055B94" w:rsidRPr="00516909" w:rsidRDefault="00055B94" w:rsidP="00D638CC">
      <w:pPr>
        <w:spacing w:after="120"/>
        <w:rPr>
          <w:sz w:val="20"/>
        </w:rPr>
      </w:pPr>
      <w:r w:rsidRPr="00516909">
        <w:rPr>
          <w:sz w:val="20"/>
          <w:vertAlign w:val="superscript"/>
        </w:rPr>
        <w:t>1</w:t>
      </w:r>
      <w:r w:rsidRPr="00516909">
        <w:rPr>
          <w:sz w:val="20"/>
        </w:rPr>
        <w:t xml:space="preserve"> For the purposes of transparency, we should note that we have been involved in one of these ‘mythbusters’.</w:t>
      </w:r>
    </w:p>
    <w:p w:rsidR="00055B94" w:rsidRPr="00516909" w:rsidRDefault="00055B94" w:rsidP="00D638CC">
      <w:pPr>
        <w:spacing w:after="120"/>
        <w:rPr>
          <w:sz w:val="20"/>
        </w:rPr>
      </w:pPr>
      <w:r w:rsidRPr="00516909">
        <w:rPr>
          <w:sz w:val="20"/>
          <w:vertAlign w:val="superscript"/>
        </w:rPr>
        <w:t>2</w:t>
      </w:r>
      <w:r w:rsidRPr="00516909">
        <w:rPr>
          <w:sz w:val="20"/>
        </w:rPr>
        <w:t xml:space="preserve"> ESS/BSA data are publicly available from </w:t>
      </w:r>
      <w:hyperlink r:id="rId11" w:history="1">
        <w:r w:rsidRPr="00516909">
          <w:rPr>
            <w:rStyle w:val="Hyperlink"/>
            <w:sz w:val="20"/>
          </w:rPr>
          <w:t>http://www.europeansocialsurvey.org/</w:t>
        </w:r>
      </w:hyperlink>
      <w:r w:rsidRPr="00516909">
        <w:rPr>
          <w:sz w:val="20"/>
        </w:rPr>
        <w:t xml:space="preserve"> and the UK Data Service respectively. The other datasets – alongside the code for this paper, web appendices and other supplementary information – are being made available on the journal website and via </w:t>
      </w:r>
      <w:hyperlink r:id="rId12" w:history="1">
        <w:r w:rsidRPr="00516909">
          <w:rPr>
            <w:rStyle w:val="Hyperlink"/>
            <w:sz w:val="20"/>
          </w:rPr>
          <w:t>www.benbgeiger.co.uk</w:t>
        </w:r>
      </w:hyperlink>
      <w:r w:rsidRPr="00516909">
        <w:rPr>
          <w:sz w:val="20"/>
        </w:rPr>
        <w:t xml:space="preserve">.  </w:t>
      </w:r>
    </w:p>
    <w:p w:rsidR="00055B94" w:rsidRPr="00516909" w:rsidRDefault="00055B94" w:rsidP="00D638CC">
      <w:pPr>
        <w:spacing w:after="120"/>
        <w:rPr>
          <w:sz w:val="20"/>
        </w:rPr>
      </w:pPr>
      <w:proofErr w:type="gramStart"/>
      <w:r w:rsidRPr="00516909">
        <w:rPr>
          <w:sz w:val="20"/>
          <w:vertAlign w:val="superscript"/>
        </w:rPr>
        <w:t>3</w:t>
      </w:r>
      <w:r w:rsidRPr="00516909">
        <w:rPr>
          <w:sz w:val="20"/>
        </w:rPr>
        <w:t xml:space="preserve"> Author’s analysis of the variable FALCATCH.</w:t>
      </w:r>
      <w:proofErr w:type="gramEnd"/>
    </w:p>
    <w:p w:rsidR="00055B94" w:rsidRPr="00516909" w:rsidRDefault="00055B94" w:rsidP="00D638CC">
      <w:pPr>
        <w:spacing w:after="120"/>
        <w:rPr>
          <w:sz w:val="20"/>
        </w:rPr>
      </w:pPr>
      <w:r w:rsidRPr="00516909">
        <w:rPr>
          <w:sz w:val="20"/>
          <w:vertAlign w:val="superscript"/>
        </w:rPr>
        <w:t>4</w:t>
      </w:r>
      <w:r w:rsidRPr="00516909">
        <w:rPr>
          <w:sz w:val="20"/>
        </w:rPr>
        <w:t xml:space="preserve"> Responses to the ESS questions B12 and B13 are in five-point bands (e.g. 5-9%); the combined figure sums the bottom of each band, and is therefore a lower bound on the perceived total.</w:t>
      </w:r>
    </w:p>
    <w:p w:rsidR="00055B94" w:rsidRDefault="00055B94" w:rsidP="00D638CC">
      <w:pPr>
        <w:spacing w:after="120"/>
        <w:rPr>
          <w:sz w:val="20"/>
        </w:rPr>
      </w:pPr>
      <w:r w:rsidRPr="00516909">
        <w:rPr>
          <w:sz w:val="20"/>
          <w:vertAlign w:val="superscript"/>
        </w:rPr>
        <w:t xml:space="preserve">5 </w:t>
      </w:r>
      <w:r w:rsidRPr="00516909">
        <w:rPr>
          <w:sz w:val="20"/>
        </w:rPr>
        <w:t>BSA actually has similar questions dating back to 1986, but there are problems the earlier series – see Web Appendix 3.</w:t>
      </w:r>
    </w:p>
    <w:p w:rsidR="00846D9A" w:rsidRDefault="00846D9A">
      <w:pPr>
        <w:spacing w:after="200" w:line="276" w:lineRule="auto"/>
        <w:rPr>
          <w:sz w:val="20"/>
        </w:rPr>
      </w:pPr>
      <w:r>
        <w:rPr>
          <w:sz w:val="20"/>
        </w:rPr>
        <w:br w:type="page"/>
      </w:r>
    </w:p>
    <w:p w:rsidR="00846D9A" w:rsidRPr="00516909" w:rsidRDefault="00846D9A" w:rsidP="00846D9A">
      <w:pPr>
        <w:pStyle w:val="Heading2"/>
      </w:pPr>
      <w:r w:rsidRPr="00516909">
        <w:lastRenderedPageBreak/>
        <w:t>Bibliography</w:t>
      </w:r>
    </w:p>
    <w:p w:rsidR="00846D9A" w:rsidRPr="009B0714" w:rsidRDefault="00846D9A" w:rsidP="00846D9A">
      <w:pPr>
        <w:pStyle w:val="EndNoteBibliography"/>
        <w:ind w:left="720" w:hanging="720"/>
      </w:pPr>
      <w:r w:rsidRPr="009B0714">
        <w:t xml:space="preserve">Alba, R., Rumbaut, R. G. &amp; Marotz, K. (2005), A distorted nation: Perceptions of racial/ethnic group sizes and attitudes toward immigrants and other minorities. </w:t>
      </w:r>
      <w:r w:rsidRPr="009B0714">
        <w:rPr>
          <w:i/>
        </w:rPr>
        <w:t>Social Forces,</w:t>
      </w:r>
      <w:r w:rsidRPr="009B0714">
        <w:t xml:space="preserve"> 84, 2: 901-919.</w:t>
      </w:r>
    </w:p>
    <w:p w:rsidR="00846D9A" w:rsidRPr="009B0714" w:rsidRDefault="00846D9A" w:rsidP="00846D9A">
      <w:pPr>
        <w:pStyle w:val="EndNoteBibliography"/>
        <w:ind w:left="720" w:hanging="720"/>
      </w:pPr>
      <w:r w:rsidRPr="009B0714">
        <w:t>Baptist Union of Great Britain, the Methodist Church, the Church of Scotland &amp; the United Reformed Church (2013), The lies we tell ourselves: ending comfortable myths about poverty. London, Methodist Publishing.</w:t>
      </w:r>
    </w:p>
    <w:p w:rsidR="00846D9A" w:rsidRPr="009B0714" w:rsidRDefault="00846D9A" w:rsidP="00846D9A">
      <w:pPr>
        <w:pStyle w:val="EndNoteBibliography"/>
        <w:ind w:left="720" w:hanging="720"/>
      </w:pPr>
      <w:r w:rsidRPr="009B0714">
        <w:t xml:space="preserve">Barabas, J. (2012), Social Security Knowledge. In: D. Lamdin (ed), </w:t>
      </w:r>
      <w:r w:rsidRPr="009B0714">
        <w:rPr>
          <w:i/>
        </w:rPr>
        <w:t>Consumer Knowledge and Financial Decisions: Lifespan Perspectives</w:t>
      </w:r>
      <w:r w:rsidRPr="009B0714">
        <w:t>.</w:t>
      </w:r>
    </w:p>
    <w:p w:rsidR="00846D9A" w:rsidRPr="009B0714" w:rsidRDefault="00846D9A" w:rsidP="00846D9A">
      <w:pPr>
        <w:pStyle w:val="EndNoteBibliography"/>
        <w:ind w:left="720" w:hanging="720"/>
      </w:pPr>
      <w:r w:rsidRPr="009B0714">
        <w:t xml:space="preserve">Baumberg, B. (2014), Benefits and the cost of living: Pressures on the cost of living and attitudes to benefit claiming In: A. Park, C. Bryson &amp; J. Curtice (eds), </w:t>
      </w:r>
      <w:r w:rsidRPr="009B0714">
        <w:rPr>
          <w:i/>
        </w:rPr>
        <w:t>British Social Attitudes: the 31st Report</w:t>
      </w:r>
      <w:r w:rsidRPr="009B0714">
        <w:t>, London, NatCen Social Research.</w:t>
      </w:r>
    </w:p>
    <w:p w:rsidR="00846D9A" w:rsidRPr="009B0714" w:rsidRDefault="00846D9A" w:rsidP="00846D9A">
      <w:pPr>
        <w:pStyle w:val="EndNoteBibliography"/>
        <w:ind w:left="720" w:hanging="720"/>
      </w:pPr>
      <w:r w:rsidRPr="009B0714">
        <w:t>Baumberg, B., Bell, K., Gaffney, D., with Deacon, R., Hood, C. &amp; Sage, D. (2012), Benefits stigma in Britain. London, Elizabeth Finn Care/Turn2us.</w:t>
      </w:r>
    </w:p>
    <w:p w:rsidR="00846D9A" w:rsidRPr="009B0714" w:rsidRDefault="00846D9A" w:rsidP="00846D9A">
      <w:pPr>
        <w:pStyle w:val="EndNoteBibliography"/>
        <w:ind w:left="720" w:hanging="720"/>
      </w:pPr>
      <w:r w:rsidRPr="009B0714">
        <w:t xml:space="preserve">Baumberg Geiger, B. (In Press), The role of knowledge and ‘myths’ in the perceived deservingness of social security benefit claimants. In: W. van Oorschot &amp; F. Roosma (eds), </w:t>
      </w:r>
      <w:r w:rsidRPr="009B0714">
        <w:rPr>
          <w:i/>
        </w:rPr>
        <w:t>The social legitimacy of targeted welfare: Attitudes to welfare deservingness</w:t>
      </w:r>
      <w:r w:rsidRPr="009B0714">
        <w:t>.</w:t>
      </w:r>
    </w:p>
    <w:p w:rsidR="00846D9A" w:rsidRPr="009B0714" w:rsidRDefault="00846D9A" w:rsidP="00846D9A">
      <w:pPr>
        <w:pStyle w:val="EndNoteBibliography"/>
        <w:ind w:left="720" w:hanging="720"/>
      </w:pPr>
      <w:r w:rsidRPr="009B0714">
        <w:t xml:space="preserve">Baumberg Geiger, B. &amp; Meuleman, B. (In Press), Beyond ‘mythbusting’: how to respond to myths and perceived undeservingness in the British benefits system. </w:t>
      </w:r>
      <w:r w:rsidRPr="009B0714">
        <w:rPr>
          <w:i/>
        </w:rPr>
        <w:t>Journal of Poverty and Social Justice</w:t>
      </w:r>
      <w:r w:rsidRPr="009B0714">
        <w:t>.</w:t>
      </w:r>
    </w:p>
    <w:p w:rsidR="00846D9A" w:rsidRPr="009B0714" w:rsidRDefault="00846D9A" w:rsidP="00846D9A">
      <w:pPr>
        <w:pStyle w:val="EndNoteBibliography"/>
        <w:ind w:left="720" w:hanging="720"/>
      </w:pPr>
      <w:r w:rsidRPr="009B0714">
        <w:t xml:space="preserve">Beresford, P. (2013), Why welfare literacy is vital. </w:t>
      </w:r>
      <w:r w:rsidRPr="009B0714">
        <w:rPr>
          <w:i/>
        </w:rPr>
        <w:t>The Guardian</w:t>
      </w:r>
      <w:r w:rsidRPr="009B0714">
        <w:t>.</w:t>
      </w:r>
    </w:p>
    <w:p w:rsidR="00846D9A" w:rsidRPr="009B0714" w:rsidRDefault="00846D9A" w:rsidP="00846D9A">
      <w:pPr>
        <w:pStyle w:val="EndNoteBibliography"/>
        <w:ind w:left="720" w:hanging="720"/>
      </w:pPr>
      <w:r w:rsidRPr="009B0714">
        <w:t xml:space="preserve">Blinder, A. &amp; Krueger, A. (2004), What does the public know about economic policy, and how does it know it? , </w:t>
      </w:r>
      <w:r w:rsidRPr="009B0714">
        <w:rPr>
          <w:i/>
        </w:rPr>
        <w:t>IZA Discussion Paper No. 1324</w:t>
      </w:r>
      <w:r w:rsidRPr="009B0714">
        <w:t>, Bonn, The Institute for the Study of Labor (IZA).</w:t>
      </w:r>
    </w:p>
    <w:p w:rsidR="00846D9A" w:rsidRPr="009B0714" w:rsidRDefault="00846D9A" w:rsidP="00846D9A">
      <w:pPr>
        <w:pStyle w:val="EndNoteBibliography"/>
        <w:ind w:left="720" w:hanging="720"/>
      </w:pPr>
      <w:r w:rsidRPr="009B0714">
        <w:t xml:space="preserve">Bullock, J. G., Gerber, A. S., Hill, S. J. &amp; Huber, G. A. (2013), Partisan bias in factual beliefs about politics. </w:t>
      </w:r>
      <w:r w:rsidRPr="009B0714">
        <w:rPr>
          <w:i/>
        </w:rPr>
        <w:t>NBER Working Paper No. 19080</w:t>
      </w:r>
      <w:r w:rsidRPr="009B0714">
        <w:t>, Cambridge, MA, NBER (National Bureau of Economic Research).</w:t>
      </w:r>
    </w:p>
    <w:p w:rsidR="00846D9A" w:rsidRPr="009B0714" w:rsidRDefault="00846D9A" w:rsidP="00846D9A">
      <w:pPr>
        <w:pStyle w:val="EndNoteBibliography"/>
        <w:ind w:left="720" w:hanging="720"/>
      </w:pPr>
      <w:r w:rsidRPr="009B0714">
        <w:t xml:space="preserve">Carpini, M. X. D. (2000), In search of the informed citizen: What Americans know about politics and why it matters. </w:t>
      </w:r>
      <w:r w:rsidRPr="009B0714">
        <w:rPr>
          <w:i/>
        </w:rPr>
        <w:t>The Communication Review,</w:t>
      </w:r>
      <w:r w:rsidRPr="009B0714">
        <w:t xml:space="preserve"> 4, 1: 129-164.</w:t>
      </w:r>
    </w:p>
    <w:p w:rsidR="00846D9A" w:rsidRPr="009B0714" w:rsidRDefault="00846D9A" w:rsidP="00846D9A">
      <w:pPr>
        <w:pStyle w:val="EndNoteBibliography"/>
        <w:ind w:left="720" w:hanging="720"/>
      </w:pPr>
      <w:r w:rsidRPr="009B0714">
        <w:t xml:space="preserve">Carpini, M. X. D. &amp; Keeter, S. (1996) </w:t>
      </w:r>
      <w:r w:rsidRPr="009B0714">
        <w:rPr>
          <w:i/>
        </w:rPr>
        <w:t xml:space="preserve">What Americans Know about Politics and Why it Matters, </w:t>
      </w:r>
      <w:r w:rsidRPr="009B0714">
        <w:t>Yale University Press., New Haven, CT.</w:t>
      </w:r>
    </w:p>
    <w:p w:rsidR="00846D9A" w:rsidRPr="009B0714" w:rsidRDefault="00846D9A" w:rsidP="00846D9A">
      <w:pPr>
        <w:pStyle w:val="EndNoteBibliography"/>
        <w:ind w:left="720" w:hanging="720"/>
      </w:pPr>
      <w:r w:rsidRPr="009B0714">
        <w:t>CNN (2011), CNN Poll: Americans flunk budget IQ test. CNN blog.</w:t>
      </w:r>
    </w:p>
    <w:p w:rsidR="00846D9A" w:rsidRPr="009B0714" w:rsidRDefault="00846D9A" w:rsidP="00846D9A">
      <w:pPr>
        <w:pStyle w:val="EndNoteBibliography"/>
        <w:ind w:left="720" w:hanging="720"/>
      </w:pPr>
      <w:r w:rsidRPr="009B0714">
        <w:t xml:space="preserve">Coote, A. &amp; Lyall, S. (2013), “Strivers v. skivers: the workless are worthless”. </w:t>
      </w:r>
      <w:r w:rsidRPr="009B0714">
        <w:rPr>
          <w:i/>
        </w:rPr>
        <w:t>Mythbusters</w:t>
      </w:r>
      <w:r w:rsidRPr="009B0714">
        <w:t>, London, nef (the new economics foundation) and the Tax Justice Network.</w:t>
      </w:r>
    </w:p>
    <w:p w:rsidR="00846D9A" w:rsidRPr="009B0714" w:rsidRDefault="00846D9A" w:rsidP="00846D9A">
      <w:pPr>
        <w:pStyle w:val="EndNoteBibliography"/>
        <w:ind w:left="720" w:hanging="720"/>
      </w:pPr>
      <w:r w:rsidRPr="009B0714">
        <w:t xml:space="preserve">Dean, H. &amp; Taylor-Gooby, P. (1992) </w:t>
      </w:r>
      <w:r w:rsidRPr="009B0714">
        <w:rPr>
          <w:i/>
        </w:rPr>
        <w:t xml:space="preserve">Dependency Culture: The Explosion of a Myth, </w:t>
      </w:r>
      <w:r w:rsidRPr="009B0714">
        <w:t>Harvester Wheatsheef, Hemel Hempstead.</w:t>
      </w:r>
    </w:p>
    <w:p w:rsidR="00846D9A" w:rsidRPr="009B0714" w:rsidRDefault="00846D9A" w:rsidP="00846D9A">
      <w:pPr>
        <w:pStyle w:val="EndNoteBibliography"/>
        <w:ind w:left="720" w:hanging="720"/>
      </w:pPr>
      <w:r w:rsidRPr="009B0714">
        <w:t xml:space="preserve">Duffy, B. (2009), The perils of perception. </w:t>
      </w:r>
      <w:r w:rsidRPr="009B0714">
        <w:rPr>
          <w:i/>
        </w:rPr>
        <w:t>Ipsos MORI Understanding Society Summer 2009</w:t>
      </w:r>
      <w:r w:rsidRPr="009B0714">
        <w:t>.</w:t>
      </w:r>
    </w:p>
    <w:p w:rsidR="00846D9A" w:rsidRPr="009B0714" w:rsidRDefault="00846D9A" w:rsidP="00846D9A">
      <w:pPr>
        <w:pStyle w:val="EndNoteBibliography"/>
        <w:ind w:left="720" w:hanging="720"/>
      </w:pPr>
      <w:r w:rsidRPr="009B0714">
        <w:t xml:space="preserve">Dunn, A. (2010), The ‘Dole or Drudgery’ Dilemma: Education, the Work Ethic and Unemployment. </w:t>
      </w:r>
      <w:r w:rsidRPr="009B0714">
        <w:rPr>
          <w:i/>
        </w:rPr>
        <w:t>Social Policy &amp; Administration,</w:t>
      </w:r>
      <w:r w:rsidRPr="009B0714">
        <w:t xml:space="preserve"> 44, 1: 1-19.</w:t>
      </w:r>
    </w:p>
    <w:p w:rsidR="00846D9A" w:rsidRPr="009B0714" w:rsidRDefault="00846D9A" w:rsidP="00846D9A">
      <w:pPr>
        <w:pStyle w:val="EndNoteBibliography"/>
        <w:ind w:left="720" w:hanging="720"/>
      </w:pPr>
      <w:r w:rsidRPr="009B0714">
        <w:t>Durant, J. R., Evans, G. A. &amp; Thomas, G. P. (1989), The public understanding of science.</w:t>
      </w:r>
    </w:p>
    <w:p w:rsidR="00846D9A" w:rsidRPr="009B0714" w:rsidRDefault="00846D9A" w:rsidP="00846D9A">
      <w:pPr>
        <w:pStyle w:val="EndNoteBibliography"/>
        <w:ind w:left="720" w:hanging="720"/>
      </w:pPr>
      <w:r w:rsidRPr="009B0714">
        <w:t>Farkas, S. &amp; Robinson, J. (1996), The Values We Live By: what Americans want from welfare reform. New York, Public Agenda.</w:t>
      </w:r>
    </w:p>
    <w:p w:rsidR="00846D9A" w:rsidRPr="009B0714" w:rsidRDefault="00846D9A" w:rsidP="00846D9A">
      <w:pPr>
        <w:pStyle w:val="EndNoteBibliography"/>
        <w:ind w:left="720" w:hanging="720"/>
      </w:pPr>
      <w:r w:rsidRPr="009B0714">
        <w:t xml:space="preserve">Flvybjerg, B. (2001) </w:t>
      </w:r>
      <w:r w:rsidRPr="009B0714">
        <w:rPr>
          <w:i/>
        </w:rPr>
        <w:t xml:space="preserve">Making Social Science Matter, </w:t>
      </w:r>
      <w:r w:rsidRPr="009B0714">
        <w:t>Cambridge UP, Cambridge.</w:t>
      </w:r>
    </w:p>
    <w:p w:rsidR="00846D9A" w:rsidRPr="009B0714" w:rsidRDefault="00846D9A" w:rsidP="00846D9A">
      <w:pPr>
        <w:pStyle w:val="EndNoteBibliography"/>
        <w:ind w:left="720" w:hanging="720"/>
      </w:pPr>
      <w:r w:rsidRPr="009B0714">
        <w:t>FullFact (2011), Benefit fraud: Has DWP hotline increased prosecutions?</w:t>
      </w:r>
    </w:p>
    <w:p w:rsidR="00846D9A" w:rsidRPr="009B0714" w:rsidRDefault="00846D9A" w:rsidP="00846D9A">
      <w:pPr>
        <w:pStyle w:val="EndNoteBibliography"/>
        <w:ind w:left="720" w:hanging="720"/>
      </w:pPr>
      <w:r w:rsidRPr="009B0714">
        <w:t>Gee, J., Button, M. &amp; Brooks, G. (2010), The financial cost of UK Public Sector Fraud: A less painful way to reduce public expenditure. Porstmouth, Center for Counter Fraud Studies (CCFS), University of Portsmouth.</w:t>
      </w:r>
    </w:p>
    <w:p w:rsidR="00846D9A" w:rsidRPr="009B0714" w:rsidRDefault="00846D9A" w:rsidP="00846D9A">
      <w:pPr>
        <w:pStyle w:val="EndNoteBibliography"/>
        <w:ind w:left="720" w:hanging="720"/>
      </w:pPr>
      <w:r w:rsidRPr="009B0714">
        <w:t xml:space="preserve">Golding, P. &amp; Middleton, S. (1982) </w:t>
      </w:r>
      <w:r w:rsidRPr="009B0714">
        <w:rPr>
          <w:i/>
        </w:rPr>
        <w:t xml:space="preserve">Images of welfare: press and public attitudes to welfare, </w:t>
      </w:r>
      <w:r w:rsidRPr="009B0714">
        <w:t>Billing &amp; Sons Limited, Worcester.</w:t>
      </w:r>
    </w:p>
    <w:p w:rsidR="00846D9A" w:rsidRPr="009B0714" w:rsidRDefault="00846D9A" w:rsidP="00846D9A">
      <w:pPr>
        <w:pStyle w:val="EndNoteBibliography"/>
        <w:ind w:left="720" w:hanging="720"/>
      </w:pPr>
      <w:r w:rsidRPr="009B0714">
        <w:t xml:space="preserve">Herda, D. (2010), How many immigrants? Foreign-born population innumeracy in Europe. </w:t>
      </w:r>
      <w:r w:rsidRPr="009B0714">
        <w:rPr>
          <w:i/>
        </w:rPr>
        <w:t>Public Opinion Quarterly,</w:t>
      </w:r>
      <w:r w:rsidRPr="009B0714">
        <w:t xml:space="preserve"> 74, 4: 674-695.</w:t>
      </w:r>
    </w:p>
    <w:p w:rsidR="00846D9A" w:rsidRPr="009B0714" w:rsidRDefault="00846D9A" w:rsidP="00846D9A">
      <w:pPr>
        <w:pStyle w:val="EndNoteBibliography"/>
        <w:ind w:left="720" w:hanging="720"/>
      </w:pPr>
      <w:r w:rsidRPr="009B0714">
        <w:t xml:space="preserve">Hills, J. (2014) </w:t>
      </w:r>
      <w:r w:rsidRPr="009B0714">
        <w:rPr>
          <w:i/>
        </w:rPr>
        <w:t xml:space="preserve">Good times, bad times: The welfare myth of them and us, </w:t>
      </w:r>
      <w:r w:rsidRPr="009B0714">
        <w:t>Policy Press, Bristol.</w:t>
      </w:r>
    </w:p>
    <w:p w:rsidR="00846D9A" w:rsidRPr="009B0714" w:rsidRDefault="00846D9A" w:rsidP="00846D9A">
      <w:pPr>
        <w:pStyle w:val="EndNoteBibliography"/>
        <w:ind w:left="720" w:hanging="720"/>
      </w:pPr>
      <w:r w:rsidRPr="009B0714">
        <w:lastRenderedPageBreak/>
        <w:t>HM Government (2014), Fraud and error in the benefits system: Government Response to the Committee's Sixth Report of Session 2013-14 - Work and Pensions Committee. London, House of Commons.</w:t>
      </w:r>
    </w:p>
    <w:p w:rsidR="00846D9A" w:rsidRPr="009B0714" w:rsidRDefault="00846D9A" w:rsidP="00846D9A">
      <w:pPr>
        <w:pStyle w:val="EndNoteBibliography"/>
        <w:ind w:left="720" w:hanging="720"/>
      </w:pPr>
      <w:r w:rsidRPr="009B0714">
        <w:t xml:space="preserve">Jacobs, L. R. &amp; Shapiro, R. Y. (1999) </w:t>
      </w:r>
      <w:r w:rsidRPr="009B0714">
        <w:rPr>
          <w:i/>
        </w:rPr>
        <w:t xml:space="preserve">Myths and misunderstandings about public opinion toward Social Security: Knowledge, support, and reformism, </w:t>
      </w:r>
      <w:r w:rsidRPr="009B0714">
        <w:t>Century Foundation.</w:t>
      </w:r>
    </w:p>
    <w:p w:rsidR="00846D9A" w:rsidRPr="009B0714" w:rsidRDefault="00846D9A" w:rsidP="00846D9A">
      <w:pPr>
        <w:pStyle w:val="EndNoteBibliography"/>
        <w:ind w:left="720" w:hanging="720"/>
      </w:pPr>
      <w:r w:rsidRPr="009B0714">
        <w:t xml:space="preserve">Kellner, P. (2015), The truth about welfare. </w:t>
      </w:r>
      <w:r w:rsidRPr="009B0714">
        <w:rPr>
          <w:i/>
        </w:rPr>
        <w:t>Prospect</w:t>
      </w:r>
      <w:r w:rsidRPr="009B0714">
        <w:t>.</w:t>
      </w:r>
    </w:p>
    <w:p w:rsidR="00846D9A" w:rsidRPr="009B0714" w:rsidRDefault="00846D9A" w:rsidP="00846D9A">
      <w:pPr>
        <w:pStyle w:val="EndNoteBibliography"/>
        <w:ind w:left="720" w:hanging="720"/>
      </w:pPr>
      <w:r w:rsidRPr="009B0714">
        <w:t>Kelly, M. (2008), Public attitudes to child poverty [research summary]. London, DWP (Department of Work and Pensions).</w:t>
      </w:r>
    </w:p>
    <w:p w:rsidR="00846D9A" w:rsidRPr="009B0714" w:rsidRDefault="00846D9A" w:rsidP="00846D9A">
      <w:pPr>
        <w:pStyle w:val="EndNoteBibliography"/>
        <w:ind w:left="720" w:hanging="720"/>
      </w:pPr>
      <w:r w:rsidRPr="009B0714">
        <w:t xml:space="preserve">Kuklinski, J. H., Quirk, P. J., Jerit, J., Schwieder, D. &amp; Rich, R. F. (2000), Misinformation and the Currency of Democratic Citizenship. </w:t>
      </w:r>
      <w:r w:rsidRPr="009B0714">
        <w:rPr>
          <w:i/>
        </w:rPr>
        <w:t>The Journal of Politics,</w:t>
      </w:r>
      <w:r w:rsidRPr="009B0714">
        <w:t xml:space="preserve"> 62, 3: 790-816.</w:t>
      </w:r>
    </w:p>
    <w:p w:rsidR="00846D9A" w:rsidRPr="009B0714" w:rsidRDefault="00846D9A" w:rsidP="00846D9A">
      <w:pPr>
        <w:pStyle w:val="EndNoteBibliography"/>
        <w:ind w:left="720" w:hanging="720"/>
      </w:pPr>
      <w:r w:rsidRPr="009B0714">
        <w:t xml:space="preserve">Kuklinski, J. H., Quirk, P. J., Schwieder, D. W. &amp; Rich, R. F. (1998), " Just the Facts, Ma'am": Political Facts and Public Opinion. </w:t>
      </w:r>
      <w:r w:rsidRPr="009B0714">
        <w:rPr>
          <w:i/>
        </w:rPr>
        <w:t>The Annals of the American Academy of Political and Social Science</w:t>
      </w:r>
      <w:r w:rsidRPr="009B0714">
        <w:t>: 143-154.</w:t>
      </w:r>
    </w:p>
    <w:p w:rsidR="00846D9A" w:rsidRPr="009B0714" w:rsidRDefault="00846D9A" w:rsidP="00846D9A">
      <w:pPr>
        <w:pStyle w:val="EndNoteBibliography"/>
        <w:ind w:left="720" w:hanging="720"/>
      </w:pPr>
      <w:r w:rsidRPr="009B0714">
        <w:t xml:space="preserve">Kuziemko, I., Norton, M. I. &amp; Saez, E. (2015), How Elastic Are Preferences for Redistribution? Evidence from Randomized Survey Experiments. </w:t>
      </w:r>
      <w:r w:rsidRPr="009B0714">
        <w:rPr>
          <w:i/>
        </w:rPr>
        <w:t>American Economic Review,</w:t>
      </w:r>
      <w:r w:rsidRPr="009B0714">
        <w:t xml:space="preserve"> 105, 4: 1478-1508.</w:t>
      </w:r>
    </w:p>
    <w:p w:rsidR="00846D9A" w:rsidRPr="009B0714" w:rsidRDefault="00846D9A" w:rsidP="00846D9A">
      <w:pPr>
        <w:pStyle w:val="EndNoteBibliography"/>
        <w:ind w:left="720" w:hanging="720"/>
      </w:pPr>
      <w:r w:rsidRPr="009B0714">
        <w:t xml:space="preserve">Liebman, J. B. &amp; Luttmer, E. F. (2012), The Perception of Social Security Incentives for Labor Supply and Retirement: The Median Voter Knows More Than You’d Think. </w:t>
      </w:r>
      <w:r w:rsidRPr="009B0714">
        <w:rPr>
          <w:i/>
        </w:rPr>
        <w:t>Tax Policy and the Economy,</w:t>
      </w:r>
      <w:r w:rsidRPr="009B0714">
        <w:t xml:space="preserve"> 26, 1: 1-42.</w:t>
      </w:r>
    </w:p>
    <w:p w:rsidR="00846D9A" w:rsidRPr="009B0714" w:rsidRDefault="00846D9A" w:rsidP="00846D9A">
      <w:pPr>
        <w:pStyle w:val="EndNoteBibliography"/>
        <w:ind w:left="720" w:hanging="720"/>
      </w:pPr>
      <w:r w:rsidRPr="009B0714">
        <w:t xml:space="preserve">Lindsay, C. &amp; McQuaid, R. W. (2004), Avoiding the ‘McJobs’: Unemployed Job Seekers and Attitudes to Service Work. </w:t>
      </w:r>
      <w:r w:rsidRPr="009B0714">
        <w:rPr>
          <w:i/>
        </w:rPr>
        <w:t>Work, Employment &amp; Society,</w:t>
      </w:r>
      <w:r w:rsidRPr="009B0714">
        <w:t xml:space="preserve"> 18, 2: 297-319.</w:t>
      </w:r>
    </w:p>
    <w:p w:rsidR="00846D9A" w:rsidRPr="009B0714" w:rsidRDefault="00846D9A" w:rsidP="00846D9A">
      <w:pPr>
        <w:pStyle w:val="EndNoteBibliography"/>
        <w:ind w:left="720" w:hanging="720"/>
      </w:pPr>
      <w:r w:rsidRPr="009B0714">
        <w:t xml:space="preserve">Liu, M. &amp; Wang, Y. (2014), Data collection mode effects on political knowledge. </w:t>
      </w:r>
      <w:r w:rsidRPr="009B0714">
        <w:rPr>
          <w:i/>
        </w:rPr>
        <w:t>Survey Methods: Insights from the Field</w:t>
      </w:r>
      <w:r w:rsidRPr="009B0714">
        <w:t>.</w:t>
      </w:r>
    </w:p>
    <w:p w:rsidR="00846D9A" w:rsidRPr="009B0714" w:rsidRDefault="00846D9A" w:rsidP="00846D9A">
      <w:pPr>
        <w:pStyle w:val="EndNoteBibliography"/>
        <w:ind w:left="720" w:hanging="720"/>
      </w:pPr>
      <w:r w:rsidRPr="009B0714">
        <w:t xml:space="preserve">MacDonald, R., Shildrick, T. &amp; Furlong, A. (2013), In search of ‘intergenerational cultures of worklessness’: Hunting the Yeti and shooting zombies. </w:t>
      </w:r>
      <w:r w:rsidRPr="009B0714">
        <w:rPr>
          <w:i/>
        </w:rPr>
        <w:t>Critical Social Policy,</w:t>
      </w:r>
      <w:r w:rsidRPr="009B0714">
        <w:t xml:space="preserve"> 34, 2: 199–220.</w:t>
      </w:r>
    </w:p>
    <w:p w:rsidR="00846D9A" w:rsidRPr="009B0714" w:rsidRDefault="00846D9A" w:rsidP="00846D9A">
      <w:pPr>
        <w:pStyle w:val="EndNoteBibliography"/>
        <w:ind w:left="720" w:hanging="720"/>
      </w:pPr>
      <w:r w:rsidRPr="009B0714">
        <w:t xml:space="preserve">MacDonald, R., Shildrick, T. &amp; Furlong, A. (2014), 'Benefits Street' and the Myth of Workless Communities. </w:t>
      </w:r>
      <w:r w:rsidRPr="009B0714">
        <w:rPr>
          <w:i/>
        </w:rPr>
        <w:t>Sociological Research Online,</w:t>
      </w:r>
      <w:r w:rsidRPr="009B0714">
        <w:t xml:space="preserve"> 19, 3: 1.</w:t>
      </w:r>
    </w:p>
    <w:p w:rsidR="00846D9A" w:rsidRPr="009B0714" w:rsidRDefault="00846D9A" w:rsidP="00846D9A">
      <w:pPr>
        <w:pStyle w:val="EndNoteBibliography"/>
        <w:ind w:left="720" w:hanging="720"/>
      </w:pPr>
      <w:r w:rsidRPr="009B0714">
        <w:t xml:space="preserve">Macmillan, L. (2011) </w:t>
      </w:r>
      <w:r w:rsidRPr="009B0714">
        <w:rPr>
          <w:i/>
        </w:rPr>
        <w:t xml:space="preserve">Measuring the intergenerational correlation of worklessness, </w:t>
      </w:r>
      <w:r w:rsidRPr="009B0714">
        <w:t>Centre for Market and Public Organisation (CMPO), University of Bristol.</w:t>
      </w:r>
    </w:p>
    <w:p w:rsidR="00846D9A" w:rsidRPr="009B0714" w:rsidRDefault="00846D9A" w:rsidP="00846D9A">
      <w:pPr>
        <w:pStyle w:val="EndNoteBibliography"/>
        <w:ind w:left="720" w:hanging="720"/>
      </w:pPr>
      <w:r w:rsidRPr="009B0714">
        <w:t xml:space="preserve">Martinez, M. D., Wald, K. D. &amp; Craig, S. C. (2008), Homophobic innumeracy? Estimating the size of the gay and lesbian population. </w:t>
      </w:r>
      <w:r w:rsidRPr="009B0714">
        <w:rPr>
          <w:i/>
        </w:rPr>
        <w:t>Public Opinion Quarterly,</w:t>
      </w:r>
      <w:r w:rsidRPr="009B0714">
        <w:t xml:space="preserve"> 72, 4: 753-767.</w:t>
      </w:r>
    </w:p>
    <w:p w:rsidR="00846D9A" w:rsidRPr="009B0714" w:rsidRDefault="00846D9A" w:rsidP="00846D9A">
      <w:pPr>
        <w:pStyle w:val="EndNoteBibliography"/>
        <w:ind w:left="720" w:hanging="720"/>
      </w:pPr>
      <w:r w:rsidRPr="009B0714">
        <w:t xml:space="preserve">Prior, M. &amp; Lupia, A. (2008), Money, Time, and Political Knowledge: Distinguishing Quick Recall and Political Learning Skills. </w:t>
      </w:r>
      <w:r w:rsidRPr="009B0714">
        <w:rPr>
          <w:i/>
        </w:rPr>
        <w:t>American Journal of Political Science,</w:t>
      </w:r>
      <w:r w:rsidRPr="009B0714">
        <w:t xml:space="preserve"> 52, 1: 169-183.</w:t>
      </w:r>
    </w:p>
    <w:p w:rsidR="00846D9A" w:rsidRPr="009B0714" w:rsidRDefault="00846D9A" w:rsidP="00846D9A">
      <w:pPr>
        <w:pStyle w:val="EndNoteBibliography"/>
        <w:ind w:left="720" w:hanging="720"/>
      </w:pPr>
      <w:r w:rsidRPr="009B0714">
        <w:t xml:space="preserve">Sanders, D., Clarke, H. D., Stewart, M. C. &amp; Whiteley, P. (2007), Does mode matter for modeling political choice? Evidence from the 2005 British Election Study. </w:t>
      </w:r>
      <w:r w:rsidRPr="009B0714">
        <w:rPr>
          <w:i/>
        </w:rPr>
        <w:t>Political Analysis,</w:t>
      </w:r>
      <w:r w:rsidRPr="009B0714">
        <w:t xml:space="preserve"> 15, 3: 257-285.</w:t>
      </w:r>
    </w:p>
    <w:p w:rsidR="00846D9A" w:rsidRPr="009B0714" w:rsidRDefault="00846D9A" w:rsidP="00846D9A">
      <w:pPr>
        <w:pStyle w:val="EndNoteBibliography"/>
        <w:ind w:left="720" w:hanging="720"/>
      </w:pPr>
      <w:r w:rsidRPr="009B0714">
        <w:t xml:space="preserve">Schwarz, N. (1999), Self-reports: How the questions shape the answers. </w:t>
      </w:r>
      <w:r w:rsidRPr="009B0714">
        <w:rPr>
          <w:i/>
        </w:rPr>
        <w:t>American Psychologist,</w:t>
      </w:r>
      <w:r w:rsidRPr="009B0714">
        <w:t xml:space="preserve"> 54, 2: 93-105.</w:t>
      </w:r>
    </w:p>
    <w:p w:rsidR="00846D9A" w:rsidRPr="009B0714" w:rsidRDefault="00846D9A" w:rsidP="00846D9A">
      <w:pPr>
        <w:pStyle w:val="EndNoteBibliography"/>
        <w:ind w:left="720" w:hanging="720"/>
      </w:pPr>
      <w:r w:rsidRPr="009B0714">
        <w:t xml:space="preserve">Slater, T. (2012), The Myth of “Broken Britain”: Welfare Reform and the Production of Ignorance. </w:t>
      </w:r>
      <w:r w:rsidRPr="009B0714">
        <w:rPr>
          <w:i/>
        </w:rPr>
        <w:t>Antipode,</w:t>
      </w:r>
      <w:r w:rsidRPr="009B0714">
        <w:t xml:space="preserve"> 46, 4: 948–969.</w:t>
      </w:r>
    </w:p>
    <w:p w:rsidR="00846D9A" w:rsidRPr="009B0714" w:rsidRDefault="00846D9A" w:rsidP="00846D9A">
      <w:pPr>
        <w:pStyle w:val="EndNoteBibliography"/>
        <w:ind w:left="720" w:hanging="720"/>
      </w:pPr>
      <w:r w:rsidRPr="009B0714">
        <w:t xml:space="preserve">Sundberg, T. (2014), Attitudes to the Welfare State: A Systematic Review Approach to the Example of Ethnically Diverse Welfare States. </w:t>
      </w:r>
      <w:r w:rsidRPr="009B0714">
        <w:rPr>
          <w:i/>
        </w:rPr>
        <w:t>Sociological Research Online,</w:t>
      </w:r>
      <w:r w:rsidRPr="009B0714">
        <w:t xml:space="preserve"> 19, 1: 28.</w:t>
      </w:r>
    </w:p>
    <w:p w:rsidR="00846D9A" w:rsidRPr="009B0714" w:rsidRDefault="00846D9A" w:rsidP="00846D9A">
      <w:pPr>
        <w:pStyle w:val="EndNoteBibliography"/>
        <w:ind w:left="720" w:hanging="720"/>
      </w:pPr>
      <w:r w:rsidRPr="009B0714">
        <w:t xml:space="preserve">Taber, C. S., Cann, D. &amp; Kucsova, S. (2009), The Motivated Processing of Political Arguments. </w:t>
      </w:r>
      <w:r w:rsidRPr="009B0714">
        <w:rPr>
          <w:i/>
        </w:rPr>
        <w:t>Political Behavior,</w:t>
      </w:r>
      <w:r w:rsidRPr="009B0714">
        <w:t xml:space="preserve"> 31, 2: 137-155.</w:t>
      </w:r>
    </w:p>
    <w:p w:rsidR="00846D9A" w:rsidRPr="009B0714" w:rsidRDefault="00846D9A" w:rsidP="00846D9A">
      <w:pPr>
        <w:pStyle w:val="EndNoteBibliography"/>
        <w:ind w:left="720" w:hanging="720"/>
      </w:pPr>
      <w:r w:rsidRPr="009B0714">
        <w:t>Taunton-Collins, G. (2013), Busting welfare myths. Adam Smith Institute`.</w:t>
      </w:r>
    </w:p>
    <w:p w:rsidR="00846D9A" w:rsidRPr="009B0714" w:rsidRDefault="00846D9A" w:rsidP="00846D9A">
      <w:pPr>
        <w:pStyle w:val="EndNoteBibliography"/>
        <w:ind w:left="720" w:hanging="720"/>
      </w:pPr>
      <w:r w:rsidRPr="009B0714">
        <w:t xml:space="preserve">Taylor-Gooby, P., Hastie, C. &amp; Bromley, C. (2003), Querulous citizens: welfare knowledge and the limits to welfare reform. </w:t>
      </w:r>
      <w:r w:rsidRPr="009B0714">
        <w:rPr>
          <w:i/>
        </w:rPr>
        <w:t>Social Policy and Administration,</w:t>
      </w:r>
      <w:r w:rsidRPr="009B0714">
        <w:t xml:space="preserve"> 30, 1: 31-46.</w:t>
      </w:r>
    </w:p>
    <w:p w:rsidR="00846D9A" w:rsidRPr="009B0714" w:rsidRDefault="00846D9A" w:rsidP="00846D9A">
      <w:pPr>
        <w:pStyle w:val="EndNoteBibliography"/>
        <w:ind w:left="720" w:hanging="720"/>
      </w:pPr>
      <w:r w:rsidRPr="009B0714">
        <w:t xml:space="preserve">TNS Opinion &amp; Social (2010), Europeans' knowledge of economic indicators. </w:t>
      </w:r>
      <w:r w:rsidRPr="009B0714">
        <w:rPr>
          <w:i/>
        </w:rPr>
        <w:t>Special Eurobarometer 323</w:t>
      </w:r>
      <w:r w:rsidRPr="009B0714">
        <w:t>, Brussels, TNS for the European Commission.</w:t>
      </w:r>
    </w:p>
    <w:p w:rsidR="00846D9A" w:rsidRPr="009B0714" w:rsidRDefault="00846D9A" w:rsidP="00846D9A">
      <w:pPr>
        <w:pStyle w:val="EndNoteBibliography"/>
        <w:ind w:left="720" w:hanging="720"/>
      </w:pPr>
      <w:r w:rsidRPr="009B0714">
        <w:t>TUC (2013), Support for benefit cuts dependent on ignorance, TUC-commissioned poll finds [press release]. London, TUC (Trades Union Congress).</w:t>
      </w:r>
    </w:p>
    <w:p w:rsidR="00846D9A" w:rsidRDefault="00846D9A" w:rsidP="00846D9A">
      <w:pPr>
        <w:pStyle w:val="EndNoteBibliography"/>
        <w:ind w:left="720" w:hanging="720"/>
      </w:pPr>
      <w:r w:rsidRPr="009B0714">
        <w:lastRenderedPageBreak/>
        <w:t xml:space="preserve">Viaene, S. &amp; Dedene, G. (2004), Insurance Fraud: Issues and Challenges. </w:t>
      </w:r>
      <w:r w:rsidRPr="009B0714">
        <w:rPr>
          <w:i/>
        </w:rPr>
        <w:t>The Geneva Papers on Risk and Insurance,</w:t>
      </w:r>
      <w:r w:rsidRPr="009B0714">
        <w:t xml:space="preserve"> 29, 2: 313–333.</w:t>
      </w:r>
      <w:r>
        <w:t xml:space="preserve"> </w:t>
      </w:r>
    </w:p>
    <w:p w:rsidR="00CD72CF" w:rsidRDefault="00CD72CF" w:rsidP="00D638CC">
      <w:pPr>
        <w:spacing w:after="120"/>
        <w:rPr>
          <w:sz w:val="20"/>
        </w:rPr>
      </w:pPr>
    </w:p>
    <w:p w:rsidR="00CD72CF" w:rsidRPr="00516909" w:rsidRDefault="00CD72CF" w:rsidP="00CD72CF">
      <w:pPr>
        <w:pStyle w:val="Heading1"/>
      </w:pPr>
      <w:r>
        <w:t>Tables</w:t>
      </w:r>
    </w:p>
    <w:p w:rsidR="00055B94" w:rsidRPr="00CD72CF" w:rsidRDefault="00CD72CF">
      <w:pPr>
        <w:spacing w:after="160" w:line="259" w:lineRule="auto"/>
        <w:rPr>
          <w:rFonts w:asciiTheme="majorHAnsi" w:eastAsiaTheme="majorEastAsia" w:hAnsiTheme="majorHAnsi" w:cstheme="majorBidi"/>
          <w:color w:val="365F91" w:themeColor="accent1" w:themeShade="BF"/>
          <w:sz w:val="24"/>
          <w:szCs w:val="26"/>
        </w:rPr>
      </w:pPr>
      <w:r>
        <w:rPr>
          <w:sz w:val="20"/>
        </w:rPr>
        <w:t>Tables 1-3 are shown on the following pages.</w:t>
      </w:r>
      <w:r w:rsidR="00055B94" w:rsidRPr="00516909">
        <w:rPr>
          <w:sz w:val="20"/>
        </w:rPr>
        <w:br w:type="page"/>
      </w:r>
    </w:p>
    <w:p w:rsidR="00055B94" w:rsidRDefault="00055B94" w:rsidP="00120BF2">
      <w:pPr>
        <w:pStyle w:val="Heading1"/>
        <w:sectPr w:rsidR="00055B94" w:rsidSect="0089447E">
          <w:type w:val="continuous"/>
          <w:pgSz w:w="11906" w:h="16838"/>
          <w:pgMar w:top="1440" w:right="1440" w:bottom="1440" w:left="1440" w:header="708" w:footer="708" w:gutter="0"/>
          <w:cols w:space="708"/>
          <w:docGrid w:linePitch="360"/>
        </w:sectPr>
      </w:pPr>
    </w:p>
    <w:p w:rsidR="00055B94" w:rsidRPr="00F03224" w:rsidRDefault="00055B94" w:rsidP="00F03224">
      <w:pPr>
        <w:spacing w:after="120" w:line="240" w:lineRule="auto"/>
        <w:jc w:val="center"/>
        <w:rPr>
          <w:rFonts w:ascii="Calibri" w:eastAsia="Calibri" w:hAnsi="Calibri" w:cs="Times New Roman"/>
          <w:b/>
        </w:rPr>
      </w:pPr>
      <w:r w:rsidRPr="00F03224">
        <w:rPr>
          <w:rFonts w:ascii="Calibri" w:eastAsia="Calibri" w:hAnsi="Calibri" w:cs="Times New Roman"/>
          <w:b/>
        </w:rPr>
        <w:lastRenderedPageBreak/>
        <w:t xml:space="preserve">Table 1: Accuracy of public perceptions of the benefits system </w:t>
      </w:r>
      <w:r w:rsidRPr="00F03224">
        <w:rPr>
          <w:rFonts w:ascii="Calibri" w:eastAsia="Calibri" w:hAnsi="Calibri" w:cs="Times New Roman"/>
        </w:rPr>
        <w:t>(continuous variables)</w:t>
      </w:r>
    </w:p>
    <w:tbl>
      <w:tblPr>
        <w:tblW w:w="11679" w:type="dxa"/>
        <w:jc w:val="center"/>
        <w:tblInd w:w="103" w:type="dxa"/>
        <w:tblLook w:val="04A0" w:firstRow="1" w:lastRow="0" w:firstColumn="1" w:lastColumn="0" w:noHBand="0" w:noVBand="1"/>
      </w:tblPr>
      <w:tblGrid>
        <w:gridCol w:w="567"/>
        <w:gridCol w:w="4920"/>
        <w:gridCol w:w="663"/>
        <w:gridCol w:w="660"/>
        <w:gridCol w:w="1260"/>
        <w:gridCol w:w="597"/>
        <w:gridCol w:w="904"/>
        <w:gridCol w:w="667"/>
        <w:gridCol w:w="667"/>
        <w:gridCol w:w="774"/>
      </w:tblGrid>
      <w:tr w:rsidR="00055B94" w:rsidRPr="00F03224" w:rsidTr="00D32BA6">
        <w:trPr>
          <w:trHeight w:val="288"/>
          <w:jc w:val="center"/>
        </w:trPr>
        <w:tc>
          <w:tcPr>
            <w:tcW w:w="567" w:type="dxa"/>
            <w:tcBorders>
              <w:top w:val="single" w:sz="4" w:space="0" w:color="auto"/>
              <w:left w:val="single" w:sz="4" w:space="0" w:color="auto"/>
              <w:bottom w:val="nil"/>
              <w:right w:val="nil"/>
            </w:tcBorders>
            <w:shd w:val="clear" w:color="000000" w:fill="FFFFFF"/>
            <w:vAlign w:val="bottom"/>
            <w:hideMark/>
          </w:tcPr>
          <w:p w:rsidR="00055B94" w:rsidRPr="00F03224" w:rsidRDefault="00055B94" w:rsidP="00F03224">
            <w:pPr>
              <w:spacing w:line="240" w:lineRule="auto"/>
              <w:jc w:val="center"/>
              <w:rPr>
                <w:rFonts w:ascii="Calibri" w:eastAsia="Times New Roman" w:hAnsi="Calibri" w:cs="Times New Roman"/>
                <w:b/>
                <w:bCs/>
                <w:szCs w:val="22"/>
                <w:lang w:eastAsia="en-GB"/>
              </w:rPr>
            </w:pPr>
            <w:r w:rsidRPr="00F03224">
              <w:rPr>
                <w:rFonts w:ascii="Calibri" w:eastAsia="Times New Roman" w:hAnsi="Calibri" w:cs="Times New Roman"/>
                <w:b/>
                <w:bCs/>
                <w:szCs w:val="22"/>
                <w:lang w:eastAsia="en-GB"/>
              </w:rPr>
              <w:t> </w:t>
            </w:r>
          </w:p>
        </w:tc>
        <w:tc>
          <w:tcPr>
            <w:tcW w:w="4920" w:type="dxa"/>
            <w:tcBorders>
              <w:top w:val="single" w:sz="4" w:space="0" w:color="auto"/>
              <w:left w:val="nil"/>
              <w:bottom w:val="nil"/>
              <w:right w:val="single" w:sz="4" w:space="0" w:color="auto"/>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323" w:type="dxa"/>
            <w:gridSpan w:val="2"/>
            <w:tcBorders>
              <w:top w:val="single" w:sz="4" w:space="0" w:color="auto"/>
              <w:left w:val="nil"/>
              <w:bottom w:val="nil"/>
              <w:right w:val="single" w:sz="4" w:space="0" w:color="000000"/>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Accepted range for 'correct'</w:t>
            </w:r>
          </w:p>
        </w:tc>
        <w:tc>
          <w:tcPr>
            <w:tcW w:w="3609" w:type="dxa"/>
            <w:gridSpan w:val="5"/>
            <w:tcBorders>
              <w:top w:val="single" w:sz="4" w:space="0" w:color="auto"/>
              <w:left w:val="nil"/>
              <w:bottom w:val="nil"/>
              <w:right w:val="single" w:sz="4" w:space="0" w:color="000000"/>
            </w:tcBorders>
            <w:shd w:val="clear" w:color="000000" w:fill="FFFFFF"/>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Correctness</w:t>
            </w:r>
          </w:p>
        </w:tc>
      </w:tr>
      <w:tr w:rsidR="00055B94" w:rsidRPr="00F03224" w:rsidTr="00D32BA6">
        <w:trPr>
          <w:trHeight w:val="985"/>
          <w:jc w:val="center"/>
        </w:trPr>
        <w:tc>
          <w:tcPr>
            <w:tcW w:w="567" w:type="dxa"/>
            <w:tcBorders>
              <w:top w:val="nil"/>
              <w:left w:val="single" w:sz="4" w:space="0" w:color="auto"/>
              <w:bottom w:val="nil"/>
              <w:right w:val="nil"/>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szCs w:val="22"/>
                <w:lang w:eastAsia="en-GB"/>
              </w:rPr>
            </w:pPr>
            <w:r w:rsidRPr="00F03224">
              <w:rPr>
                <w:rFonts w:ascii="Calibri" w:eastAsia="Times New Roman" w:hAnsi="Calibri" w:cs="Times New Roman"/>
                <w:b/>
                <w:bCs/>
                <w:szCs w:val="22"/>
                <w:lang w:eastAsia="en-GB"/>
              </w:rPr>
              <w:t> </w:t>
            </w:r>
          </w:p>
        </w:tc>
        <w:tc>
          <w:tcPr>
            <w:tcW w:w="4920" w:type="dxa"/>
            <w:tcBorders>
              <w:top w:val="nil"/>
              <w:left w:val="nil"/>
              <w:bottom w:val="single" w:sz="4" w:space="0" w:color="auto"/>
              <w:right w:val="single" w:sz="4" w:space="0" w:color="auto"/>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3" w:type="dxa"/>
            <w:tcBorders>
              <w:top w:val="nil"/>
              <w:left w:val="nil"/>
              <w:bottom w:val="nil"/>
              <w:right w:val="nil"/>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Mean</w:t>
            </w:r>
          </w:p>
        </w:tc>
        <w:tc>
          <w:tcPr>
            <w:tcW w:w="660" w:type="dxa"/>
            <w:tcBorders>
              <w:top w:val="nil"/>
              <w:left w:val="nil"/>
              <w:bottom w:val="nil"/>
              <w:right w:val="single" w:sz="4" w:space="0" w:color="auto"/>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Median</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p>
        </w:tc>
        <w:tc>
          <w:tcPr>
            <w:tcW w:w="1501" w:type="dxa"/>
            <w:gridSpan w:val="2"/>
            <w:tcBorders>
              <w:top w:val="nil"/>
              <w:left w:val="nil"/>
              <w:bottom w:val="single" w:sz="4" w:space="0" w:color="auto"/>
              <w:right w:val="nil"/>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Correct</w:t>
            </w:r>
            <w:r w:rsidRPr="00F03224">
              <w:rPr>
                <w:rFonts w:ascii="Calibri" w:eastAsia="Times New Roman" w:hAnsi="Calibri" w:cs="Times New Roman"/>
                <w:b/>
                <w:bCs/>
                <w:color w:val="000000"/>
                <w:szCs w:val="22"/>
                <w:lang w:eastAsia="en-GB"/>
              </w:rPr>
              <w:br/>
            </w:r>
            <w:r w:rsidRPr="00F03224">
              <w:rPr>
                <w:rFonts w:ascii="Calibri" w:eastAsia="Times New Roman" w:hAnsi="Calibri" w:cs="Times New Roman"/>
                <w:color w:val="000000"/>
                <w:szCs w:val="22"/>
                <w:lang w:eastAsia="en-GB"/>
              </w:rPr>
              <w:t>(95% CI)</w:t>
            </w:r>
          </w:p>
        </w:tc>
        <w:tc>
          <w:tcPr>
            <w:tcW w:w="667" w:type="dxa"/>
            <w:tcBorders>
              <w:top w:val="nil"/>
              <w:left w:val="nil"/>
              <w:bottom w:val="nil"/>
              <w:right w:val="nil"/>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Under-estimate</w:t>
            </w:r>
          </w:p>
        </w:tc>
        <w:tc>
          <w:tcPr>
            <w:tcW w:w="667" w:type="dxa"/>
            <w:tcBorders>
              <w:top w:val="nil"/>
              <w:left w:val="nil"/>
              <w:bottom w:val="nil"/>
              <w:right w:val="nil"/>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Over-estimate</w:t>
            </w:r>
          </w:p>
        </w:tc>
        <w:tc>
          <w:tcPr>
            <w:tcW w:w="774" w:type="dxa"/>
            <w:tcBorders>
              <w:top w:val="nil"/>
              <w:left w:val="nil"/>
              <w:bottom w:val="nil"/>
              <w:right w:val="single" w:sz="4" w:space="0" w:color="auto"/>
            </w:tcBorders>
            <w:shd w:val="clear" w:color="000000" w:fill="FFFFFF"/>
            <w:textDirection w:val="btLr"/>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Don’t</w:t>
            </w:r>
            <w:r w:rsidRPr="00F03224">
              <w:rPr>
                <w:rFonts w:ascii="Calibri" w:eastAsia="Times New Roman" w:hAnsi="Calibri" w:cs="Times New Roman"/>
                <w:b/>
                <w:bCs/>
                <w:color w:val="000000"/>
                <w:szCs w:val="22"/>
                <w:lang w:eastAsia="en-GB"/>
              </w:rPr>
              <w:br/>
              <w:t>know</w:t>
            </w:r>
          </w:p>
        </w:tc>
      </w:tr>
      <w:tr w:rsidR="00055B94" w:rsidRPr="00F03224" w:rsidTr="00D32BA6">
        <w:trPr>
          <w:trHeight w:val="290"/>
          <w:jc w:val="center"/>
        </w:trPr>
        <w:tc>
          <w:tcPr>
            <w:tcW w:w="5487"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benefit fraud</w:t>
            </w:r>
          </w:p>
        </w:tc>
        <w:tc>
          <w:tcPr>
            <w:tcW w:w="663"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260"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597"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904"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774" w:type="dxa"/>
            <w:tcBorders>
              <w:top w:val="single" w:sz="4" w:space="0" w:color="auto"/>
              <w:left w:val="nil"/>
              <w:bottom w:val="single" w:sz="4" w:space="0" w:color="auto"/>
              <w:right w:val="single" w:sz="4" w:space="0" w:color="auto"/>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Fraud as % of out-of-work benefit claims 2012‡</w:t>
            </w:r>
            <w:r w:rsidRPr="00F03224">
              <w:rPr>
                <w:rFonts w:ascii="Calibri" w:eastAsia="Times New Roman" w:hAnsi="Calibri" w:cs="Times New Roman"/>
                <w:color w:val="000000"/>
                <w:szCs w:val="22"/>
                <w:vertAlign w:val="superscript"/>
                <w:lang w:eastAsia="en-GB"/>
              </w:rPr>
              <w:t>1</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29.2</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25</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10.0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31%</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(29-33)</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61%</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A2</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False claims as % of disability claims 2007‡</w:t>
            </w:r>
            <w:r w:rsidRPr="00F03224">
              <w:rPr>
                <w:rFonts w:ascii="Calibri" w:eastAsia="Times New Roman" w:hAnsi="Calibri" w:cs="Times New Roman"/>
                <w:color w:val="000000"/>
                <w:szCs w:val="22"/>
                <w:vertAlign w:val="superscript"/>
                <w:lang w:eastAsia="en-GB"/>
              </w:rPr>
              <w:t>2</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34.2</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10.0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19%</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(18-21)</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73%</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A3</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False claims as % of unemployment claims 2007‡</w:t>
            </w:r>
            <w:r w:rsidRPr="00F03224">
              <w:rPr>
                <w:rFonts w:ascii="Calibri" w:eastAsia="Times New Roman" w:hAnsi="Calibri" w:cs="Times New Roman"/>
                <w:color w:val="000000"/>
                <w:szCs w:val="22"/>
                <w:vertAlign w:val="superscript"/>
                <w:lang w:eastAsia="en-GB"/>
              </w:rPr>
              <w:t>2</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37.2</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35</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10.0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(14-16)</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78%</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A4</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Fraud as % of welfare spending 2013‡</w:t>
            </w:r>
            <w:r w:rsidRPr="00F03224">
              <w:rPr>
                <w:rFonts w:ascii="Calibri" w:eastAsia="Times New Roman" w:hAnsi="Calibri" w:cs="Times New Roman"/>
                <w:color w:val="000000"/>
                <w:szCs w:val="22"/>
                <w:vertAlign w:val="superscript"/>
                <w:lang w:eastAsia="en-GB"/>
              </w:rPr>
              <w:t>3</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24.1</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10.0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27%</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(24-30)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45%</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28%</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A5</w:t>
            </w:r>
          </w:p>
        </w:tc>
        <w:tc>
          <w:tcPr>
            <w:tcW w:w="492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Fraud as % of welfare spending 2012‡</w:t>
            </w:r>
            <w:r w:rsidRPr="00F03224">
              <w:rPr>
                <w:rFonts w:ascii="Calibri" w:eastAsia="Times New Roman" w:hAnsi="Calibri" w:cs="Times New Roman"/>
                <w:color w:val="000000"/>
                <w:szCs w:val="22"/>
                <w:vertAlign w:val="superscript"/>
                <w:lang w:eastAsia="en-GB"/>
              </w:rPr>
              <w:t>5</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26.9</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10.0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37%</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(35-40)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63%</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5487"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spending on benefits</w:t>
            </w:r>
          </w:p>
        </w:tc>
        <w:tc>
          <w:tcPr>
            <w:tcW w:w="663"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2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59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904"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774" w:type="dxa"/>
            <w:tcBorders>
              <w:top w:val="single" w:sz="4" w:space="0" w:color="auto"/>
              <w:left w:val="nil"/>
              <w:bottom w:val="single" w:sz="4" w:space="0" w:color="auto"/>
              <w:right w:val="single" w:sz="4" w:space="0" w:color="auto"/>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A6</w:t>
            </w:r>
          </w:p>
        </w:tc>
        <w:tc>
          <w:tcPr>
            <w:tcW w:w="492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Bens for unemployed as % of welfare budget 2012</w:t>
            </w:r>
            <w:r w:rsidRPr="00F03224">
              <w:rPr>
                <w:rFonts w:ascii="Calibri" w:eastAsia="Times New Roman" w:hAnsi="Calibri" w:cs="Times New Roman"/>
                <w:color w:val="000000"/>
                <w:szCs w:val="22"/>
                <w:vertAlign w:val="superscript"/>
                <w:lang w:eastAsia="en-GB"/>
              </w:rPr>
              <w:t>5</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41</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0.0 to 13.0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(8-11)</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91%</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6150" w:type="dxa"/>
            <w:gridSpan w:val="3"/>
            <w:tcBorders>
              <w:top w:val="single" w:sz="4" w:space="0" w:color="auto"/>
              <w:left w:val="single" w:sz="4" w:space="0" w:color="auto"/>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level of claims among working-age population</w:t>
            </w:r>
          </w:p>
        </w:tc>
        <w:tc>
          <w:tcPr>
            <w:tcW w:w="6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2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59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904"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774" w:type="dxa"/>
            <w:tcBorders>
              <w:top w:val="single" w:sz="4" w:space="0" w:color="auto"/>
              <w:left w:val="nil"/>
              <w:bottom w:val="single" w:sz="4" w:space="0" w:color="auto"/>
              <w:right w:val="single" w:sz="4" w:space="0" w:color="auto"/>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A7</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Unemployed as % of economically active 2007</w:t>
            </w:r>
            <w:r w:rsidRPr="00F03224">
              <w:rPr>
                <w:rFonts w:ascii="Calibri" w:eastAsia="Times New Roman" w:hAnsi="Calibri" w:cs="Times New Roman"/>
                <w:color w:val="808080"/>
                <w:szCs w:val="22"/>
                <w:vertAlign w:val="superscript"/>
                <w:lang w:eastAsia="en-GB"/>
              </w:rPr>
              <w:t>6</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9.5</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9</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808080"/>
                <w:szCs w:val="22"/>
                <w:lang w:eastAsia="en-GB"/>
              </w:rPr>
            </w:pPr>
            <w:r w:rsidRPr="00F03224">
              <w:rPr>
                <w:rFonts w:ascii="Calibri" w:eastAsia="Times New Roman" w:hAnsi="Calibri" w:cs="Times New Roman"/>
                <w:i/>
                <w:iCs/>
                <w:color w:val="808080"/>
                <w:szCs w:val="22"/>
                <w:lang w:eastAsia="en-GB"/>
              </w:rPr>
              <w:t>0.4 to 10.4</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23%</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808080"/>
                <w:sz w:val="20"/>
                <w:szCs w:val="20"/>
                <w:lang w:eastAsia="en-GB"/>
              </w:rPr>
            </w:pPr>
            <w:r w:rsidRPr="00F03224">
              <w:rPr>
                <w:rFonts w:ascii="Calibri" w:eastAsia="Times New Roman" w:hAnsi="Calibri" w:cs="Times New Roman"/>
                <w:color w:val="808080"/>
                <w:sz w:val="20"/>
                <w:szCs w:val="20"/>
                <w:lang w:eastAsia="en-GB"/>
              </w:rPr>
              <w:t>(20-26)</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14%</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63%</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A8</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Unemployed as % of economically active 2009</w:t>
            </w:r>
            <w:r w:rsidRPr="00F03224">
              <w:rPr>
                <w:rFonts w:ascii="Calibri" w:eastAsia="Times New Roman" w:hAnsi="Calibri" w:cs="Times New Roman"/>
                <w:color w:val="808080"/>
                <w:szCs w:val="22"/>
                <w:vertAlign w:val="superscript"/>
                <w:lang w:eastAsia="en-GB"/>
              </w:rPr>
              <w:t>6</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10.5</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10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808080"/>
                <w:szCs w:val="22"/>
                <w:lang w:eastAsia="en-GB"/>
              </w:rPr>
            </w:pPr>
            <w:r w:rsidRPr="00F03224">
              <w:rPr>
                <w:rFonts w:ascii="Calibri" w:eastAsia="Times New Roman" w:hAnsi="Calibri" w:cs="Times New Roman"/>
                <w:i/>
                <w:iCs/>
                <w:color w:val="808080"/>
                <w:szCs w:val="22"/>
                <w:lang w:eastAsia="en-GB"/>
              </w:rPr>
              <w:t>2.7 to 12.7</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29%</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808080"/>
                <w:sz w:val="20"/>
                <w:szCs w:val="20"/>
                <w:lang w:eastAsia="en-GB"/>
              </w:rPr>
            </w:pPr>
            <w:r w:rsidRPr="00F03224">
              <w:rPr>
                <w:rFonts w:ascii="Calibri" w:eastAsia="Times New Roman" w:hAnsi="Calibri" w:cs="Times New Roman"/>
                <w:color w:val="808080"/>
                <w:sz w:val="20"/>
                <w:szCs w:val="20"/>
                <w:lang w:eastAsia="en-GB"/>
              </w:rPr>
              <w:t>(27-32)</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5%</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19%</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808080"/>
                <w:szCs w:val="22"/>
                <w:lang w:eastAsia="en-GB"/>
              </w:rPr>
            </w:pPr>
            <w:r w:rsidRPr="00F03224">
              <w:rPr>
                <w:rFonts w:ascii="Calibri" w:eastAsia="Times New Roman" w:hAnsi="Calibri" w:cs="Times New Roman"/>
                <w:color w:val="808080"/>
                <w:szCs w:val="22"/>
                <w:lang w:eastAsia="en-GB"/>
              </w:rPr>
              <w:t>47%</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A9</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as % of population 2013</w:t>
            </w:r>
            <w:r w:rsidRPr="00F03224">
              <w:rPr>
                <w:rFonts w:ascii="Calibri" w:eastAsia="Times New Roman" w:hAnsi="Calibri" w:cs="Times New Roman"/>
                <w:color w:val="000000"/>
                <w:szCs w:val="22"/>
                <w:vertAlign w:val="superscript"/>
                <w:lang w:eastAsia="en-GB"/>
              </w:rPr>
              <w:t>3</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22.2</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 to 11.0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29%</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(27-32)</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48%</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A10</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Out-of-work benefit claims as % of pop 2015</w:t>
            </w:r>
            <w:r w:rsidRPr="00F03224">
              <w:rPr>
                <w:rFonts w:ascii="Calibri" w:eastAsia="Times New Roman" w:hAnsi="Calibri" w:cs="Times New Roman"/>
                <w:color w:val="000000"/>
                <w:szCs w:val="22"/>
                <w:vertAlign w:val="superscript"/>
                <w:lang w:eastAsia="en-GB"/>
              </w:rPr>
              <w:t>4</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23.0</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6.4 to 16.4</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28%</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(25-30)</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49%</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567" w:type="dxa"/>
            <w:tcBorders>
              <w:top w:val="nil"/>
              <w:left w:val="single" w:sz="4" w:space="0" w:color="auto"/>
              <w:bottom w:val="dotted"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A11</w:t>
            </w:r>
          </w:p>
        </w:tc>
        <w:tc>
          <w:tcPr>
            <w:tcW w:w="4920" w:type="dxa"/>
            <w:tcBorders>
              <w:top w:val="nil"/>
              <w:left w:val="nil"/>
              <w:bottom w:val="dotted"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Out-of-work benefit claims as % of pop 2000</w:t>
            </w:r>
            <w:r w:rsidRPr="00F03224">
              <w:rPr>
                <w:rFonts w:ascii="Calibri" w:eastAsia="Times New Roman" w:hAnsi="Calibri" w:cs="Times New Roman"/>
                <w:color w:val="000000"/>
                <w:szCs w:val="22"/>
                <w:vertAlign w:val="superscript"/>
                <w:lang w:eastAsia="en-GB"/>
              </w:rPr>
              <w:t>4</w:t>
            </w:r>
          </w:p>
        </w:tc>
        <w:tc>
          <w:tcPr>
            <w:tcW w:w="663" w:type="dxa"/>
            <w:tcBorders>
              <w:top w:val="nil"/>
              <w:left w:val="nil"/>
              <w:bottom w:val="dotted"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19.6</w:t>
            </w:r>
          </w:p>
        </w:tc>
        <w:tc>
          <w:tcPr>
            <w:tcW w:w="660" w:type="dxa"/>
            <w:tcBorders>
              <w:top w:val="nil"/>
              <w:left w:val="nil"/>
              <w:bottom w:val="dotted"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w:t>
            </w:r>
          </w:p>
        </w:tc>
        <w:tc>
          <w:tcPr>
            <w:tcW w:w="1260" w:type="dxa"/>
            <w:tcBorders>
              <w:top w:val="nil"/>
              <w:left w:val="nil"/>
              <w:bottom w:val="dotted" w:sz="4" w:space="0" w:color="auto"/>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9.3 to 19.3</w:t>
            </w:r>
          </w:p>
        </w:tc>
        <w:tc>
          <w:tcPr>
            <w:tcW w:w="597" w:type="dxa"/>
            <w:tcBorders>
              <w:top w:val="nil"/>
              <w:left w:val="nil"/>
              <w:bottom w:val="dotted"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26%</w:t>
            </w:r>
          </w:p>
        </w:tc>
        <w:tc>
          <w:tcPr>
            <w:tcW w:w="904" w:type="dxa"/>
            <w:tcBorders>
              <w:top w:val="nil"/>
              <w:left w:val="nil"/>
              <w:bottom w:val="dotted"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(24-29)</w:t>
            </w:r>
          </w:p>
        </w:tc>
        <w:tc>
          <w:tcPr>
            <w:tcW w:w="667" w:type="dxa"/>
            <w:tcBorders>
              <w:top w:val="nil"/>
              <w:left w:val="nil"/>
              <w:bottom w:val="dotted"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33%</w:t>
            </w:r>
          </w:p>
        </w:tc>
        <w:tc>
          <w:tcPr>
            <w:tcW w:w="667" w:type="dxa"/>
            <w:tcBorders>
              <w:top w:val="nil"/>
              <w:left w:val="nil"/>
              <w:bottom w:val="dotted"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41%</w:t>
            </w:r>
          </w:p>
        </w:tc>
        <w:tc>
          <w:tcPr>
            <w:tcW w:w="774" w:type="dxa"/>
            <w:tcBorders>
              <w:top w:val="nil"/>
              <w:left w:val="nil"/>
              <w:bottom w:val="dotted"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A12</w:t>
            </w:r>
          </w:p>
        </w:tc>
        <w:tc>
          <w:tcPr>
            <w:tcW w:w="492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Trend in out-of-work benefit claims 2000-2015</w:t>
            </w:r>
            <w:r w:rsidRPr="00F03224">
              <w:rPr>
                <w:rFonts w:ascii="Calibri" w:eastAsia="Times New Roman" w:hAnsi="Calibri" w:cs="Times New Roman"/>
                <w:color w:val="000000"/>
                <w:szCs w:val="22"/>
                <w:vertAlign w:val="superscript"/>
                <w:lang w:eastAsia="en-GB"/>
              </w:rPr>
              <w:t>4</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3.3</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-7.0 to -1.0</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21%</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(19-23)</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13%</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66%</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5487"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value of benefits</w:t>
            </w:r>
          </w:p>
        </w:tc>
        <w:tc>
          <w:tcPr>
            <w:tcW w:w="663"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260"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59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904"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774" w:type="dxa"/>
            <w:tcBorders>
              <w:top w:val="single" w:sz="4" w:space="0" w:color="auto"/>
              <w:left w:val="nil"/>
              <w:bottom w:val="single" w:sz="4" w:space="0" w:color="auto"/>
              <w:right w:val="single" w:sz="4" w:space="0" w:color="auto"/>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r>
      <w:tr w:rsidR="00055B94" w:rsidRPr="00F03224" w:rsidTr="00D32BA6">
        <w:trPr>
          <w:trHeight w:val="290"/>
          <w:jc w:val="center"/>
        </w:trPr>
        <w:tc>
          <w:tcPr>
            <w:tcW w:w="567"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A13</w:t>
            </w:r>
          </w:p>
        </w:tc>
        <w:tc>
          <w:tcPr>
            <w:tcW w:w="492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Unemployment benefit, couple with 2 kids 2012‡</w:t>
            </w:r>
            <w:r w:rsidRPr="00F03224">
              <w:rPr>
                <w:rFonts w:ascii="Calibri" w:eastAsia="Times New Roman" w:hAnsi="Calibri" w:cs="Times New Roman"/>
                <w:color w:val="000000"/>
                <w:szCs w:val="22"/>
                <w:vertAlign w:val="superscript"/>
                <w:lang w:eastAsia="en-GB"/>
              </w:rPr>
              <w:t>5</w:t>
            </w:r>
          </w:p>
        </w:tc>
        <w:tc>
          <w:tcPr>
            <w:tcW w:w="663"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£183</w:t>
            </w:r>
          </w:p>
        </w:tc>
        <w:tc>
          <w:tcPr>
            <w:tcW w:w="6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130</w:t>
            </w:r>
          </w:p>
        </w:tc>
        <w:tc>
          <w:tcPr>
            <w:tcW w:w="126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£100-125</w:t>
            </w:r>
          </w:p>
        </w:tc>
        <w:tc>
          <w:tcPr>
            <w:tcW w:w="59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21%</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(19-23)</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29%</w:t>
            </w:r>
          </w:p>
        </w:tc>
        <w:tc>
          <w:tcPr>
            <w:tcW w:w="667"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50%</w:t>
            </w:r>
          </w:p>
        </w:tc>
        <w:tc>
          <w:tcPr>
            <w:tcW w:w="774"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r w:rsidR="00055B94" w:rsidRPr="00F03224" w:rsidTr="00D32BA6">
        <w:trPr>
          <w:trHeight w:val="290"/>
          <w:jc w:val="center"/>
        </w:trPr>
        <w:tc>
          <w:tcPr>
            <w:tcW w:w="567" w:type="dxa"/>
            <w:tcBorders>
              <w:top w:val="nil"/>
              <w:left w:val="single" w:sz="4" w:space="0" w:color="auto"/>
              <w:bottom w:val="single"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A14</w:t>
            </w:r>
          </w:p>
        </w:tc>
        <w:tc>
          <w:tcPr>
            <w:tcW w:w="492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 xml:space="preserve">How much better </w:t>
            </w:r>
            <w:proofErr w:type="spellStart"/>
            <w:r w:rsidRPr="00F03224">
              <w:rPr>
                <w:rFonts w:ascii="Calibri" w:eastAsia="Times New Roman" w:hAnsi="Calibri" w:cs="Times New Roman"/>
                <w:color w:val="000000"/>
                <w:szCs w:val="22"/>
                <w:lang w:eastAsia="en-GB"/>
              </w:rPr>
              <w:t>of</w:t>
            </w:r>
            <w:proofErr w:type="spellEnd"/>
            <w:r w:rsidRPr="00F03224">
              <w:rPr>
                <w:rFonts w:ascii="Calibri" w:eastAsia="Times New Roman" w:hAnsi="Calibri" w:cs="Times New Roman"/>
                <w:color w:val="000000"/>
                <w:szCs w:val="22"/>
                <w:lang w:eastAsia="en-GB"/>
              </w:rPr>
              <w:t xml:space="preserve"> in min wage job* 2012</w:t>
            </w:r>
            <w:r w:rsidRPr="00F03224">
              <w:rPr>
                <w:rFonts w:ascii="Calibri" w:eastAsia="Times New Roman" w:hAnsi="Calibri" w:cs="Times New Roman"/>
                <w:color w:val="000000"/>
                <w:szCs w:val="22"/>
                <w:vertAlign w:val="superscript"/>
                <w:lang w:eastAsia="en-GB"/>
              </w:rPr>
              <w:t>5</w:t>
            </w:r>
          </w:p>
        </w:tc>
        <w:tc>
          <w:tcPr>
            <w:tcW w:w="663"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-£19</w:t>
            </w:r>
          </w:p>
        </w:tc>
        <w:tc>
          <w:tcPr>
            <w:tcW w:w="66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w:t>
            </w:r>
          </w:p>
        </w:tc>
        <w:tc>
          <w:tcPr>
            <w:tcW w:w="126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£100-150</w:t>
            </w:r>
          </w:p>
        </w:tc>
        <w:tc>
          <w:tcPr>
            <w:tcW w:w="59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w:t>
            </w:r>
          </w:p>
        </w:tc>
        <w:tc>
          <w:tcPr>
            <w:tcW w:w="904"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(3-5)</w:t>
            </w:r>
          </w:p>
        </w:tc>
        <w:tc>
          <w:tcPr>
            <w:tcW w:w="66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85%</w:t>
            </w:r>
          </w:p>
        </w:tc>
        <w:tc>
          <w:tcPr>
            <w:tcW w:w="66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w:t>
            </w:r>
          </w:p>
        </w:tc>
        <w:tc>
          <w:tcPr>
            <w:tcW w:w="774"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w:t>
            </w:r>
          </w:p>
        </w:tc>
      </w:tr>
      <w:tr w:rsidR="00055B94" w:rsidRPr="00F03224" w:rsidTr="00D32BA6">
        <w:trPr>
          <w:trHeight w:val="290"/>
          <w:jc w:val="center"/>
        </w:trPr>
        <w:tc>
          <w:tcPr>
            <w:tcW w:w="5487"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Other perceptions of the benefits system</w:t>
            </w:r>
          </w:p>
        </w:tc>
        <w:tc>
          <w:tcPr>
            <w:tcW w:w="663"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0"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1260"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597"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904" w:type="dxa"/>
            <w:tcBorders>
              <w:top w:val="single" w:sz="4" w:space="0" w:color="auto"/>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667" w:type="dxa"/>
            <w:tcBorders>
              <w:top w:val="nil"/>
              <w:left w:val="nil"/>
              <w:bottom w:val="single" w:sz="4" w:space="0" w:color="auto"/>
              <w:right w:val="nil"/>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c>
          <w:tcPr>
            <w:tcW w:w="774" w:type="dxa"/>
            <w:tcBorders>
              <w:top w:val="nil"/>
              <w:left w:val="nil"/>
              <w:bottom w:val="single" w:sz="4" w:space="0" w:color="auto"/>
              <w:right w:val="single" w:sz="4" w:space="0" w:color="auto"/>
            </w:tcBorders>
            <w:shd w:val="clear" w:color="000000" w:fill="D9D9D9"/>
            <w:noWrap/>
            <w:vAlign w:val="bottom"/>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 </w:t>
            </w:r>
          </w:p>
        </w:tc>
      </w:tr>
      <w:tr w:rsidR="00055B94" w:rsidRPr="00F03224" w:rsidTr="00D32BA6">
        <w:trPr>
          <w:trHeight w:val="290"/>
          <w:jc w:val="center"/>
        </w:trPr>
        <w:tc>
          <w:tcPr>
            <w:tcW w:w="567" w:type="dxa"/>
            <w:tcBorders>
              <w:top w:val="nil"/>
              <w:left w:val="single" w:sz="4" w:space="0" w:color="auto"/>
              <w:bottom w:val="single"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szCs w:val="22"/>
                <w:lang w:eastAsia="en-GB"/>
              </w:rPr>
            </w:pPr>
            <w:r w:rsidRPr="00F03224">
              <w:rPr>
                <w:rFonts w:ascii="Calibri" w:eastAsia="Times New Roman" w:hAnsi="Calibri" w:cs="Times New Roman"/>
                <w:szCs w:val="22"/>
                <w:lang w:eastAsia="en-GB"/>
              </w:rPr>
              <w:t>A15</w:t>
            </w:r>
          </w:p>
        </w:tc>
        <w:tc>
          <w:tcPr>
            <w:tcW w:w="492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 initial JSA claimants who claim for 12mths 2012*</w:t>
            </w:r>
            <w:r w:rsidRPr="00F03224">
              <w:rPr>
                <w:rFonts w:ascii="Calibri" w:eastAsia="Times New Roman" w:hAnsi="Calibri" w:cs="Times New Roman"/>
                <w:color w:val="000000"/>
                <w:szCs w:val="22"/>
                <w:vertAlign w:val="superscript"/>
                <w:lang w:eastAsia="en-GB"/>
              </w:rPr>
              <w:t>5</w:t>
            </w:r>
          </w:p>
        </w:tc>
        <w:tc>
          <w:tcPr>
            <w:tcW w:w="663"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48</w:t>
            </w:r>
          </w:p>
        </w:tc>
        <w:tc>
          <w:tcPr>
            <w:tcW w:w="66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50</w:t>
            </w:r>
          </w:p>
        </w:tc>
        <w:tc>
          <w:tcPr>
            <w:tcW w:w="126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center"/>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27 to 45</w:t>
            </w:r>
          </w:p>
        </w:tc>
        <w:tc>
          <w:tcPr>
            <w:tcW w:w="59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24%</w:t>
            </w:r>
          </w:p>
        </w:tc>
        <w:tc>
          <w:tcPr>
            <w:tcW w:w="904"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 w:val="20"/>
                <w:szCs w:val="20"/>
                <w:lang w:eastAsia="en-GB"/>
              </w:rPr>
            </w:pPr>
            <w:r w:rsidRPr="00F03224">
              <w:rPr>
                <w:rFonts w:ascii="Calibri" w:eastAsia="Times New Roman" w:hAnsi="Calibri" w:cs="Times New Roman"/>
                <w:color w:val="000000"/>
                <w:sz w:val="20"/>
                <w:szCs w:val="20"/>
                <w:lang w:eastAsia="en-GB"/>
              </w:rPr>
              <w:t>(21-26)</w:t>
            </w:r>
          </w:p>
        </w:tc>
        <w:tc>
          <w:tcPr>
            <w:tcW w:w="66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w:t>
            </w:r>
          </w:p>
        </w:tc>
        <w:tc>
          <w:tcPr>
            <w:tcW w:w="667"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54%</w:t>
            </w:r>
          </w:p>
        </w:tc>
        <w:tc>
          <w:tcPr>
            <w:tcW w:w="774"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w:t>
            </w:r>
          </w:p>
        </w:tc>
      </w:tr>
    </w:tbl>
    <w:p w:rsidR="00055B94" w:rsidRPr="00F03224" w:rsidRDefault="00055B94" w:rsidP="00F03224">
      <w:pPr>
        <w:spacing w:line="240" w:lineRule="auto"/>
        <w:ind w:left="1276"/>
        <w:rPr>
          <w:rFonts w:ascii="Calibri" w:eastAsia="Calibri" w:hAnsi="Calibri" w:cs="Times New Roman"/>
          <w:sz w:val="20"/>
        </w:rPr>
      </w:pPr>
      <w:r w:rsidRPr="00F03224">
        <w:rPr>
          <w:rFonts w:ascii="Calibri" w:eastAsia="Calibri" w:hAnsi="Calibri" w:cs="Times New Roman"/>
          <w:sz w:val="20"/>
        </w:rPr>
        <w:t>* Major / ‡ Minor issues around the 'true' figure given - see text &amp; Web Appendix 4</w:t>
      </w:r>
    </w:p>
    <w:p w:rsidR="00055B94" w:rsidRPr="00F03224" w:rsidRDefault="00055B94" w:rsidP="00F03224">
      <w:pPr>
        <w:spacing w:after="120" w:line="240" w:lineRule="auto"/>
        <w:ind w:left="1276"/>
        <w:rPr>
          <w:rFonts w:ascii="Calibri" w:eastAsia="Calibri" w:hAnsi="Calibri" w:cs="Times New Roman"/>
          <w:sz w:val="20"/>
        </w:rPr>
      </w:pPr>
      <w:r w:rsidRPr="00F03224">
        <w:rPr>
          <w:rFonts w:ascii="Calibri" w:eastAsia="Calibri" w:hAnsi="Calibri" w:cs="Times New Roman"/>
          <w:sz w:val="20"/>
        </w:rPr>
        <w:t xml:space="preserve">Source/mode: </w:t>
      </w:r>
      <w:r w:rsidRPr="00F03224">
        <w:rPr>
          <w:rFonts w:ascii="Calibri" w:eastAsia="Calibri" w:hAnsi="Calibri" w:cs="Times New Roman"/>
          <w:sz w:val="20"/>
          <w:vertAlign w:val="superscript"/>
        </w:rPr>
        <w:t>1</w:t>
      </w:r>
      <w:r w:rsidRPr="00F03224">
        <w:rPr>
          <w:rFonts w:ascii="Calibri" w:eastAsia="Calibri" w:hAnsi="Calibri" w:cs="Times New Roman"/>
          <w:sz w:val="20"/>
        </w:rPr>
        <w:t xml:space="preserve"> 2012 MORI/F2F; </w:t>
      </w:r>
      <w:r w:rsidRPr="00F03224">
        <w:rPr>
          <w:rFonts w:ascii="Calibri" w:eastAsia="Calibri" w:hAnsi="Calibri" w:cs="Times New Roman"/>
          <w:sz w:val="20"/>
          <w:vertAlign w:val="superscript"/>
        </w:rPr>
        <w:t>2</w:t>
      </w:r>
      <w:r w:rsidRPr="00F03224">
        <w:rPr>
          <w:rFonts w:ascii="Calibri" w:eastAsia="Calibri" w:hAnsi="Calibri" w:cs="Times New Roman"/>
          <w:sz w:val="20"/>
        </w:rPr>
        <w:t xml:space="preserve"> 2007 BSA/F2F; </w:t>
      </w:r>
      <w:r w:rsidRPr="00F03224">
        <w:rPr>
          <w:rFonts w:ascii="Calibri" w:eastAsia="Calibri" w:hAnsi="Calibri" w:cs="Times New Roman"/>
          <w:sz w:val="20"/>
          <w:vertAlign w:val="superscript"/>
        </w:rPr>
        <w:t>3</w:t>
      </w:r>
      <w:r w:rsidRPr="00F03224">
        <w:rPr>
          <w:rFonts w:ascii="Calibri" w:eastAsia="Calibri" w:hAnsi="Calibri" w:cs="Times New Roman"/>
          <w:sz w:val="20"/>
        </w:rPr>
        <w:t xml:space="preserve"> 2013 MORI/web; </w:t>
      </w:r>
      <w:r w:rsidRPr="00F03224">
        <w:rPr>
          <w:rFonts w:ascii="Calibri" w:eastAsia="Calibri" w:hAnsi="Calibri" w:cs="Times New Roman"/>
          <w:sz w:val="20"/>
          <w:vertAlign w:val="superscript"/>
        </w:rPr>
        <w:t>4</w:t>
      </w:r>
      <w:r w:rsidRPr="00F03224">
        <w:rPr>
          <w:rFonts w:ascii="Calibri" w:eastAsia="Calibri" w:hAnsi="Calibri" w:cs="Times New Roman"/>
          <w:sz w:val="20"/>
        </w:rPr>
        <w:t xml:space="preserve"> 2015 MORI/web; </w:t>
      </w:r>
      <w:r w:rsidRPr="00F03224">
        <w:rPr>
          <w:rFonts w:ascii="Calibri" w:eastAsia="Calibri" w:hAnsi="Calibri" w:cs="Times New Roman"/>
          <w:sz w:val="20"/>
          <w:vertAlign w:val="superscript"/>
        </w:rPr>
        <w:t>5</w:t>
      </w:r>
      <w:r w:rsidRPr="00F03224">
        <w:rPr>
          <w:rFonts w:ascii="Calibri" w:eastAsia="Calibri" w:hAnsi="Calibri" w:cs="Times New Roman"/>
          <w:sz w:val="20"/>
        </w:rPr>
        <w:t xml:space="preserve"> 2012 YouGov/web; </w:t>
      </w:r>
      <w:r w:rsidRPr="00F03224">
        <w:rPr>
          <w:rFonts w:ascii="Calibri" w:eastAsia="Calibri" w:hAnsi="Calibri" w:cs="Times New Roman"/>
          <w:sz w:val="20"/>
          <w:vertAlign w:val="superscript"/>
        </w:rPr>
        <w:t>6</w:t>
      </w:r>
      <w:r w:rsidRPr="00F03224">
        <w:rPr>
          <w:rFonts w:ascii="Calibri" w:eastAsia="Calibri" w:hAnsi="Calibri" w:cs="Times New Roman"/>
          <w:sz w:val="20"/>
        </w:rPr>
        <w:t xml:space="preserve"> Eurobarometer/phone.</w:t>
      </w:r>
    </w:p>
    <w:p w:rsidR="00055B94" w:rsidRPr="00F03224" w:rsidRDefault="00055B94" w:rsidP="00F03224">
      <w:pPr>
        <w:spacing w:after="120" w:line="240" w:lineRule="auto"/>
        <w:jc w:val="center"/>
        <w:rPr>
          <w:rFonts w:ascii="Calibri" w:eastAsia="Calibri" w:hAnsi="Calibri" w:cs="Times New Roman"/>
          <w:b/>
        </w:rPr>
      </w:pPr>
      <w:r w:rsidRPr="00F03224">
        <w:rPr>
          <w:rFonts w:ascii="Calibri" w:eastAsia="Calibri" w:hAnsi="Calibri" w:cs="Times New Roman"/>
        </w:rPr>
        <w:br w:type="page"/>
      </w:r>
      <w:r w:rsidRPr="00F03224">
        <w:rPr>
          <w:rFonts w:ascii="Calibri" w:eastAsia="Calibri" w:hAnsi="Calibri" w:cs="Times New Roman"/>
          <w:b/>
        </w:rPr>
        <w:lastRenderedPageBreak/>
        <w:t xml:space="preserve">Table 2: Accuracy of public perceptions of the benefits system </w:t>
      </w:r>
      <w:r w:rsidRPr="00F03224">
        <w:rPr>
          <w:rFonts w:ascii="Calibri" w:eastAsia="Calibri" w:hAnsi="Calibri" w:cs="Times New Roman"/>
        </w:rPr>
        <w:t>(categorical variables)</w:t>
      </w:r>
    </w:p>
    <w:tbl>
      <w:tblPr>
        <w:tblW w:w="13450" w:type="dxa"/>
        <w:tblLook w:val="04A0" w:firstRow="1" w:lastRow="0" w:firstColumn="1" w:lastColumn="0" w:noHBand="0" w:noVBand="1"/>
      </w:tblPr>
      <w:tblGrid>
        <w:gridCol w:w="693"/>
        <w:gridCol w:w="4248"/>
        <w:gridCol w:w="2136"/>
        <w:gridCol w:w="2648"/>
        <w:gridCol w:w="898"/>
        <w:gridCol w:w="1034"/>
        <w:gridCol w:w="897"/>
        <w:gridCol w:w="896"/>
      </w:tblGrid>
      <w:tr w:rsidR="00055B94" w:rsidRPr="00F03224" w:rsidTr="00D32BA6">
        <w:trPr>
          <w:trHeight w:val="576"/>
        </w:trPr>
        <w:tc>
          <w:tcPr>
            <w:tcW w:w="693" w:type="dxa"/>
            <w:tcBorders>
              <w:top w:val="single" w:sz="4" w:space="0" w:color="auto"/>
              <w:left w:val="single" w:sz="4" w:space="0" w:color="auto"/>
              <w:bottom w:val="single" w:sz="4" w:space="0" w:color="auto"/>
              <w:right w:val="nil"/>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w:t>
            </w:r>
          </w:p>
        </w:tc>
        <w:tc>
          <w:tcPr>
            <w:tcW w:w="4248" w:type="dxa"/>
            <w:tcBorders>
              <w:top w:val="single" w:sz="4" w:space="0" w:color="auto"/>
              <w:left w:val="nil"/>
              <w:bottom w:val="nil"/>
              <w:right w:val="nil"/>
            </w:tcBorders>
            <w:shd w:val="clear" w:color="auto" w:fill="auto"/>
            <w:noWrap/>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w:t>
            </w:r>
          </w:p>
        </w:tc>
        <w:tc>
          <w:tcPr>
            <w:tcW w:w="2136" w:type="dxa"/>
            <w:tcBorders>
              <w:top w:val="single" w:sz="4" w:space="0" w:color="auto"/>
              <w:left w:val="nil"/>
              <w:bottom w:val="nil"/>
              <w:right w:val="nil"/>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xml:space="preserve">Year </w:t>
            </w:r>
            <w:r w:rsidRPr="00F03224">
              <w:rPr>
                <w:rFonts w:ascii="Calibri" w:eastAsia="Times New Roman" w:hAnsi="Calibri" w:cs="Times New Roman"/>
                <w:b/>
                <w:bCs/>
                <w:color w:val="000000"/>
                <w:szCs w:val="22"/>
                <w:lang w:eastAsia="en-GB"/>
              </w:rPr>
              <w:br/>
              <w:t>(data source)</w:t>
            </w:r>
          </w:p>
        </w:tc>
        <w:tc>
          <w:tcPr>
            <w:tcW w:w="2648" w:type="dxa"/>
            <w:tcBorders>
              <w:top w:val="single" w:sz="4" w:space="0" w:color="auto"/>
              <w:left w:val="nil"/>
              <w:bottom w:val="nil"/>
              <w:right w:val="single" w:sz="4" w:space="0" w:color="auto"/>
            </w:tcBorders>
            <w:shd w:val="clear" w:color="auto" w:fill="auto"/>
            <w:noWrap/>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Correct answer(s)</w:t>
            </w:r>
          </w:p>
        </w:tc>
        <w:tc>
          <w:tcPr>
            <w:tcW w:w="898" w:type="dxa"/>
            <w:tcBorders>
              <w:top w:val="single" w:sz="4" w:space="0" w:color="auto"/>
              <w:left w:val="nil"/>
              <w:bottom w:val="nil"/>
              <w:right w:val="nil"/>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correct</w:t>
            </w:r>
          </w:p>
        </w:tc>
        <w:tc>
          <w:tcPr>
            <w:tcW w:w="1034" w:type="dxa"/>
            <w:tcBorders>
              <w:top w:val="single" w:sz="4" w:space="0" w:color="auto"/>
              <w:left w:val="nil"/>
              <w:bottom w:val="nil"/>
              <w:right w:val="nil"/>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incorrect</w:t>
            </w:r>
          </w:p>
        </w:tc>
        <w:tc>
          <w:tcPr>
            <w:tcW w:w="897" w:type="dxa"/>
            <w:tcBorders>
              <w:top w:val="single" w:sz="4" w:space="0" w:color="auto"/>
              <w:left w:val="nil"/>
              <w:bottom w:val="nil"/>
              <w:right w:val="single" w:sz="4" w:space="0" w:color="auto"/>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don’t know</w:t>
            </w:r>
          </w:p>
        </w:tc>
        <w:tc>
          <w:tcPr>
            <w:tcW w:w="896" w:type="dxa"/>
            <w:tcBorders>
              <w:top w:val="single" w:sz="4" w:space="0" w:color="auto"/>
              <w:left w:val="nil"/>
              <w:bottom w:val="nil"/>
              <w:right w:val="single" w:sz="4" w:space="0" w:color="auto"/>
            </w:tcBorders>
            <w:shd w:val="clear" w:color="auto" w:fill="auto"/>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n</w:t>
            </w:r>
          </w:p>
        </w:tc>
      </w:tr>
      <w:tr w:rsidR="00055B94" w:rsidRPr="00F03224" w:rsidTr="00D32BA6">
        <w:trPr>
          <w:trHeight w:val="288"/>
        </w:trPr>
        <w:tc>
          <w:tcPr>
            <w:tcW w:w="13450" w:type="dxa"/>
            <w:gridSpan w:val="8"/>
            <w:tcBorders>
              <w:top w:val="single" w:sz="4" w:space="0" w:color="auto"/>
              <w:left w:val="single" w:sz="4" w:space="0" w:color="auto"/>
              <w:bottom w:val="single" w:sz="4" w:space="0" w:color="auto"/>
              <w:right w:val="nil"/>
            </w:tcBorders>
            <w:shd w:val="clear" w:color="000000" w:fill="D9D9D9"/>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spending on benefits</w:t>
            </w:r>
          </w:p>
        </w:tc>
      </w:tr>
      <w:tr w:rsidR="00055B94" w:rsidRPr="00F03224" w:rsidTr="00D32BA6">
        <w:trPr>
          <w:trHeight w:val="2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Largest area of government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Social security benefits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31.3%</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64.5%</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4.2%</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3275</w:t>
            </w:r>
          </w:p>
        </w:tc>
      </w:tr>
      <w:tr w:rsidR="00055B94" w:rsidRPr="00F03224" w:rsidTr="00D32BA6">
        <w:trPr>
          <w:trHeight w:val="2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B2</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2nd largest area of govt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Education, health</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44.8%</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49.8%</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5.4%</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3275</w:t>
            </w:r>
          </w:p>
        </w:tc>
      </w:tr>
      <w:tr w:rsidR="00055B94" w:rsidRPr="00F03224" w:rsidTr="00D32BA6">
        <w:trPr>
          <w:trHeight w:val="5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B3</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Within 2-3 biggest areas of government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2013 (MORI web)</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Health, pensions, benefits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9.1%</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80.0%</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10.9%</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1015</w:t>
            </w:r>
          </w:p>
        </w:tc>
      </w:tr>
      <w:tr w:rsidR="00055B94" w:rsidRPr="00F03224" w:rsidTr="00D32BA6">
        <w:trPr>
          <w:trHeight w:val="588"/>
        </w:trPr>
        <w:tc>
          <w:tcPr>
            <w:tcW w:w="693" w:type="dxa"/>
            <w:tcBorders>
              <w:top w:val="nil"/>
              <w:left w:val="single" w:sz="4" w:space="0" w:color="auto"/>
              <w:bottom w:val="dotted"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B4</w:t>
            </w:r>
          </w:p>
        </w:tc>
        <w:tc>
          <w:tcPr>
            <w:tcW w:w="4248" w:type="dxa"/>
            <w:tcBorders>
              <w:top w:val="nil"/>
              <w:left w:val="nil"/>
              <w:bottom w:val="dotted" w:sz="4" w:space="0" w:color="auto"/>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Smallest area of govt spending</w:t>
            </w:r>
          </w:p>
        </w:tc>
        <w:tc>
          <w:tcPr>
            <w:tcW w:w="2136"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dotted" w:sz="4" w:space="0" w:color="auto"/>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Housing, public transport, overseas aid</w:t>
            </w:r>
          </w:p>
        </w:tc>
        <w:tc>
          <w:tcPr>
            <w:tcW w:w="898"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49.0%</w:t>
            </w:r>
          </w:p>
        </w:tc>
        <w:tc>
          <w:tcPr>
            <w:tcW w:w="1034"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47.1%</w:t>
            </w:r>
          </w:p>
        </w:tc>
        <w:tc>
          <w:tcPr>
            <w:tcW w:w="897" w:type="dxa"/>
            <w:tcBorders>
              <w:top w:val="nil"/>
              <w:left w:val="nil"/>
              <w:bottom w:val="dotted"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3.9%</w:t>
            </w:r>
          </w:p>
        </w:tc>
        <w:tc>
          <w:tcPr>
            <w:tcW w:w="896" w:type="dxa"/>
            <w:tcBorders>
              <w:top w:val="nil"/>
              <w:left w:val="nil"/>
              <w:bottom w:val="dotted"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3275</w:t>
            </w:r>
          </w:p>
        </w:tc>
      </w:tr>
      <w:tr w:rsidR="00055B94" w:rsidRPr="00F03224" w:rsidTr="00D32BA6">
        <w:trPr>
          <w:trHeight w:val="5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B5</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Largest area of social security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Retirement pensions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27.0%</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69.3%</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3.8%</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3275</w:t>
            </w:r>
          </w:p>
        </w:tc>
      </w:tr>
      <w:tr w:rsidR="00055B94" w:rsidRPr="00F03224" w:rsidTr="00D32BA6">
        <w:trPr>
          <w:trHeight w:val="5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B6</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2nd largest area of social security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Children or disability benefits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29.5%</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65.9%</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4.6%</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3275</w:t>
            </w:r>
          </w:p>
        </w:tc>
      </w:tr>
      <w:tr w:rsidR="00055B94" w:rsidRPr="00F03224" w:rsidTr="00D32BA6">
        <w:trPr>
          <w:trHeight w:val="5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B7</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Smallest area of social security spending</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2001 (BSA F2F)</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proofErr w:type="spellStart"/>
            <w:r w:rsidRPr="00F03224">
              <w:rPr>
                <w:rFonts w:ascii="Calibri" w:eastAsia="Times New Roman" w:hAnsi="Calibri" w:cs="Times New Roman"/>
                <w:color w:val="000000"/>
                <w:szCs w:val="22"/>
                <w:lang w:eastAsia="en-GB"/>
              </w:rPr>
              <w:t>Unempoyment</w:t>
            </w:r>
            <w:proofErr w:type="spellEnd"/>
            <w:r w:rsidRPr="00F03224">
              <w:rPr>
                <w:rFonts w:ascii="Calibri" w:eastAsia="Times New Roman" w:hAnsi="Calibri" w:cs="Times New Roman"/>
                <w:color w:val="000000"/>
                <w:szCs w:val="22"/>
                <w:lang w:eastAsia="en-GB"/>
              </w:rPr>
              <w:t xml:space="preserve"> or single parent benefits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75.9%</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4.1%</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3274</w:t>
            </w:r>
          </w:p>
        </w:tc>
      </w:tr>
      <w:tr w:rsidR="00055B94" w:rsidRPr="00F03224" w:rsidTr="00D32BA6">
        <w:trPr>
          <w:trHeight w:val="588"/>
        </w:trPr>
        <w:tc>
          <w:tcPr>
            <w:tcW w:w="693" w:type="dxa"/>
            <w:tcBorders>
              <w:top w:val="nil"/>
              <w:left w:val="single" w:sz="4" w:space="0" w:color="auto"/>
              <w:bottom w:val="dotted"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B8</w:t>
            </w:r>
          </w:p>
        </w:tc>
        <w:tc>
          <w:tcPr>
            <w:tcW w:w="4248" w:type="dxa"/>
            <w:tcBorders>
              <w:top w:val="nil"/>
              <w:left w:val="nil"/>
              <w:bottom w:val="dotted" w:sz="4" w:space="0" w:color="auto"/>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Which costs more, JSA or state pension?</w:t>
            </w:r>
          </w:p>
        </w:tc>
        <w:tc>
          <w:tcPr>
            <w:tcW w:w="2136"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2013 (MORI web)</w:t>
            </w:r>
          </w:p>
        </w:tc>
        <w:tc>
          <w:tcPr>
            <w:tcW w:w="2648" w:type="dxa"/>
            <w:tcBorders>
              <w:top w:val="nil"/>
              <w:left w:val="nil"/>
              <w:bottom w:val="dotted" w:sz="4" w:space="0" w:color="auto"/>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Pensions</w:t>
            </w:r>
          </w:p>
        </w:tc>
        <w:tc>
          <w:tcPr>
            <w:tcW w:w="898"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46.5%</w:t>
            </w:r>
          </w:p>
        </w:tc>
        <w:tc>
          <w:tcPr>
            <w:tcW w:w="1034" w:type="dxa"/>
            <w:tcBorders>
              <w:top w:val="nil"/>
              <w:left w:val="nil"/>
              <w:bottom w:val="dotted"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40.4%</w:t>
            </w:r>
          </w:p>
        </w:tc>
        <w:tc>
          <w:tcPr>
            <w:tcW w:w="897" w:type="dxa"/>
            <w:tcBorders>
              <w:top w:val="nil"/>
              <w:left w:val="nil"/>
              <w:bottom w:val="dotted"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13.1%</w:t>
            </w:r>
          </w:p>
        </w:tc>
        <w:tc>
          <w:tcPr>
            <w:tcW w:w="896" w:type="dxa"/>
            <w:tcBorders>
              <w:top w:val="nil"/>
              <w:left w:val="nil"/>
              <w:bottom w:val="dotted"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1015</w:t>
            </w:r>
          </w:p>
        </w:tc>
      </w:tr>
      <w:tr w:rsidR="00055B94" w:rsidRPr="00F03224" w:rsidTr="00D32BA6">
        <w:trPr>
          <w:trHeight w:val="5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B9</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Which policy option would save the most money?</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2013 (MORI web)</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Raising state pension age</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16.4%</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63.7%</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19.9%</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1015</w:t>
            </w:r>
          </w:p>
        </w:tc>
      </w:tr>
      <w:tr w:rsidR="00055B94" w:rsidRPr="00F03224" w:rsidTr="00D32BA6">
        <w:trPr>
          <w:trHeight w:val="588"/>
        </w:trPr>
        <w:tc>
          <w:tcPr>
            <w:tcW w:w="693" w:type="dxa"/>
            <w:tcBorders>
              <w:top w:val="nil"/>
              <w:left w:val="single" w:sz="4" w:space="0" w:color="auto"/>
              <w:bottom w:val="single"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B10</w:t>
            </w:r>
          </w:p>
        </w:tc>
        <w:tc>
          <w:tcPr>
            <w:tcW w:w="4248" w:type="dxa"/>
            <w:tcBorders>
              <w:top w:val="nil"/>
              <w:left w:val="nil"/>
              <w:bottom w:val="nil"/>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Which policy option would save the least money?</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2013 (MORI web)</w:t>
            </w:r>
          </w:p>
        </w:tc>
        <w:tc>
          <w:tcPr>
            <w:tcW w:w="2648" w:type="dxa"/>
            <w:tcBorders>
              <w:top w:val="nil"/>
              <w:left w:val="nil"/>
              <w:bottom w:val="nil"/>
              <w:right w:val="single" w:sz="4" w:space="0" w:color="auto"/>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TV licences / bus travel for pensioners</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51.4%</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28.2%</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20.4%</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1015</w:t>
            </w:r>
          </w:p>
        </w:tc>
      </w:tr>
      <w:tr w:rsidR="00055B94" w:rsidRPr="00F03224" w:rsidTr="00D32BA6">
        <w:trPr>
          <w:trHeight w:val="288"/>
        </w:trPr>
        <w:tc>
          <w:tcPr>
            <w:tcW w:w="13450" w:type="dxa"/>
            <w:gridSpan w:val="8"/>
            <w:tcBorders>
              <w:top w:val="single" w:sz="4" w:space="0" w:color="auto"/>
              <w:left w:val="single" w:sz="4" w:space="0" w:color="auto"/>
              <w:bottom w:val="single" w:sz="4" w:space="0" w:color="auto"/>
              <w:right w:val="single" w:sz="4" w:space="0" w:color="000000"/>
            </w:tcBorders>
            <w:shd w:val="clear" w:color="000000" w:fill="D9D9D9"/>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level of claims among working-age population</w:t>
            </w:r>
          </w:p>
        </w:tc>
      </w:tr>
      <w:tr w:rsidR="00055B94" w:rsidRPr="00F03224" w:rsidTr="00D32BA6">
        <w:trPr>
          <w:trHeight w:val="288"/>
        </w:trPr>
        <w:tc>
          <w:tcPr>
            <w:tcW w:w="693" w:type="dxa"/>
            <w:tcBorders>
              <w:top w:val="nil"/>
              <w:left w:val="single" w:sz="4" w:space="0" w:color="auto"/>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B11</w:t>
            </w:r>
          </w:p>
        </w:tc>
        <w:tc>
          <w:tcPr>
            <w:tcW w:w="424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Unemployment as % of active population</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2010 (YouGov web)</w:t>
            </w:r>
          </w:p>
        </w:tc>
        <w:tc>
          <w:tcPr>
            <w:tcW w:w="2648"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 percent</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27.3%</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51.6%</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21.1%</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992</w:t>
            </w:r>
          </w:p>
        </w:tc>
      </w:tr>
      <w:tr w:rsidR="00055B94" w:rsidRPr="00F03224" w:rsidTr="00D32BA6">
        <w:trPr>
          <w:trHeight w:val="288"/>
        </w:trPr>
        <w:tc>
          <w:tcPr>
            <w:tcW w:w="693" w:type="dxa"/>
            <w:tcBorders>
              <w:top w:val="nil"/>
              <w:left w:val="single" w:sz="4" w:space="0" w:color="auto"/>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B12</w:t>
            </w:r>
          </w:p>
        </w:tc>
        <w:tc>
          <w:tcPr>
            <w:tcW w:w="424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&amp; looking for work as % of pop</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2008 (ESS F2F)</w:t>
            </w:r>
          </w:p>
        </w:tc>
        <w:tc>
          <w:tcPr>
            <w:tcW w:w="2648"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0-4% or 5-9% (exact=4.3%)</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18.5%</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78.0%</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3.5%</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2351</w:t>
            </w:r>
          </w:p>
        </w:tc>
      </w:tr>
      <w:tr w:rsidR="00055B94" w:rsidRPr="00F03224" w:rsidTr="00D32BA6">
        <w:trPr>
          <w:trHeight w:val="288"/>
        </w:trPr>
        <w:tc>
          <w:tcPr>
            <w:tcW w:w="693" w:type="dxa"/>
            <w:tcBorders>
              <w:top w:val="nil"/>
              <w:left w:val="single" w:sz="4" w:space="0" w:color="auto"/>
              <w:bottom w:val="single" w:sz="4" w:space="0" w:color="auto"/>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B13</w:t>
            </w:r>
          </w:p>
        </w:tc>
        <w:tc>
          <w:tcPr>
            <w:tcW w:w="424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Long-term sick &amp; disabled as % of pop</w:t>
            </w:r>
          </w:p>
        </w:tc>
        <w:tc>
          <w:tcPr>
            <w:tcW w:w="2136"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2008 (ESS F2F)</w:t>
            </w:r>
          </w:p>
        </w:tc>
        <w:tc>
          <w:tcPr>
            <w:tcW w:w="2648"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0-4% or 5-9% (exact=5.7%)</w:t>
            </w:r>
          </w:p>
        </w:tc>
        <w:tc>
          <w:tcPr>
            <w:tcW w:w="898"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30.1%</w:t>
            </w:r>
          </w:p>
        </w:tc>
        <w:tc>
          <w:tcPr>
            <w:tcW w:w="1034" w:type="dxa"/>
            <w:tcBorders>
              <w:top w:val="nil"/>
              <w:left w:val="nil"/>
              <w:bottom w:val="nil"/>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65.0%</w:t>
            </w:r>
          </w:p>
        </w:tc>
        <w:tc>
          <w:tcPr>
            <w:tcW w:w="897"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4.8%</w:t>
            </w:r>
          </w:p>
        </w:tc>
        <w:tc>
          <w:tcPr>
            <w:tcW w:w="896" w:type="dxa"/>
            <w:tcBorders>
              <w:top w:val="nil"/>
              <w:left w:val="nil"/>
              <w:bottom w:val="nil"/>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2351</w:t>
            </w:r>
          </w:p>
        </w:tc>
      </w:tr>
      <w:tr w:rsidR="00055B94" w:rsidRPr="00F03224" w:rsidTr="00D32BA6">
        <w:trPr>
          <w:trHeight w:val="288"/>
        </w:trPr>
        <w:tc>
          <w:tcPr>
            <w:tcW w:w="13450" w:type="dxa"/>
            <w:gridSpan w:val="8"/>
            <w:tcBorders>
              <w:top w:val="single" w:sz="4" w:space="0" w:color="auto"/>
              <w:left w:val="single" w:sz="4" w:space="0" w:color="auto"/>
              <w:bottom w:val="single" w:sz="4" w:space="0" w:color="auto"/>
              <w:right w:val="single" w:sz="4" w:space="0" w:color="000000"/>
            </w:tcBorders>
            <w:shd w:val="clear" w:color="000000" w:fill="D9D9D9"/>
            <w:vAlign w:val="bottom"/>
            <w:hideMark/>
          </w:tcPr>
          <w:p w:rsidR="00055B94" w:rsidRPr="00F03224" w:rsidRDefault="00055B94" w:rsidP="00F03224">
            <w:pPr>
              <w:spacing w:line="240" w:lineRule="auto"/>
              <w:jc w:val="center"/>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Perceptions of value of benefits</w:t>
            </w:r>
          </w:p>
        </w:tc>
      </w:tr>
      <w:tr w:rsidR="00055B94" w:rsidRPr="00F03224" w:rsidTr="00D32BA6">
        <w:trPr>
          <w:trHeight w:val="288"/>
        </w:trPr>
        <w:tc>
          <w:tcPr>
            <w:tcW w:w="693" w:type="dxa"/>
            <w:tcBorders>
              <w:top w:val="nil"/>
              <w:left w:val="single" w:sz="4" w:space="0" w:color="auto"/>
              <w:bottom w:val="single"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B14</w:t>
            </w:r>
          </w:p>
        </w:tc>
        <w:tc>
          <w:tcPr>
            <w:tcW w:w="4248" w:type="dxa"/>
            <w:tcBorders>
              <w:top w:val="nil"/>
              <w:left w:val="nil"/>
              <w:bottom w:val="single" w:sz="4" w:space="0" w:color="auto"/>
              <w:right w:val="nil"/>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Whether better-off in min wage job</w:t>
            </w:r>
          </w:p>
        </w:tc>
        <w:tc>
          <w:tcPr>
            <w:tcW w:w="2136" w:type="dxa"/>
            <w:tcBorders>
              <w:top w:val="nil"/>
              <w:left w:val="nil"/>
              <w:bottom w:val="single" w:sz="4" w:space="0" w:color="auto"/>
              <w:right w:val="nil"/>
            </w:tcBorders>
            <w:shd w:val="clear" w:color="000000" w:fill="FFFFFF"/>
            <w:noWrap/>
            <w:vAlign w:val="center"/>
            <w:hideMark/>
          </w:tcPr>
          <w:p w:rsidR="00055B94" w:rsidRPr="00F03224" w:rsidRDefault="00055B94" w:rsidP="00F03224">
            <w:pPr>
              <w:spacing w:line="240" w:lineRule="auto"/>
              <w:jc w:val="center"/>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2012 (YouGov web)</w:t>
            </w:r>
          </w:p>
        </w:tc>
        <w:tc>
          <w:tcPr>
            <w:tcW w:w="2648" w:type="dxa"/>
            <w:tcBorders>
              <w:top w:val="nil"/>
              <w:left w:val="nil"/>
              <w:bottom w:val="single" w:sz="4" w:space="0" w:color="auto"/>
              <w:right w:val="single" w:sz="4" w:space="0" w:color="auto"/>
            </w:tcBorders>
            <w:shd w:val="clear" w:color="000000" w:fill="FFFFFF"/>
            <w:noWrap/>
            <w:vAlign w:val="center"/>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Better off</w:t>
            </w:r>
          </w:p>
        </w:tc>
        <w:tc>
          <w:tcPr>
            <w:tcW w:w="898" w:type="dxa"/>
            <w:tcBorders>
              <w:top w:val="nil"/>
              <w:left w:val="nil"/>
              <w:bottom w:val="single"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20.7%</w:t>
            </w:r>
          </w:p>
        </w:tc>
        <w:tc>
          <w:tcPr>
            <w:tcW w:w="1034" w:type="dxa"/>
            <w:tcBorders>
              <w:top w:val="nil"/>
              <w:left w:val="nil"/>
              <w:bottom w:val="single" w:sz="4" w:space="0" w:color="auto"/>
              <w:right w:val="nil"/>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69.5%</w:t>
            </w:r>
          </w:p>
        </w:tc>
        <w:tc>
          <w:tcPr>
            <w:tcW w:w="897" w:type="dxa"/>
            <w:tcBorders>
              <w:top w:val="nil"/>
              <w:left w:val="nil"/>
              <w:bottom w:val="single"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9.8%</w:t>
            </w:r>
          </w:p>
        </w:tc>
        <w:tc>
          <w:tcPr>
            <w:tcW w:w="896" w:type="dxa"/>
            <w:tcBorders>
              <w:top w:val="nil"/>
              <w:left w:val="nil"/>
              <w:bottom w:val="single" w:sz="4" w:space="0" w:color="auto"/>
              <w:right w:val="single" w:sz="4" w:space="0" w:color="auto"/>
            </w:tcBorders>
            <w:shd w:val="clear" w:color="000000" w:fill="FFFFFF"/>
            <w:noWrap/>
            <w:vAlign w:val="center"/>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1805</w:t>
            </w:r>
          </w:p>
        </w:tc>
      </w:tr>
    </w:tbl>
    <w:p w:rsidR="00055B94" w:rsidRPr="00F03224" w:rsidRDefault="00055B94" w:rsidP="00F03224">
      <w:pPr>
        <w:spacing w:after="120" w:line="240" w:lineRule="auto"/>
        <w:jc w:val="center"/>
        <w:rPr>
          <w:rFonts w:ascii="Calibri" w:eastAsia="Calibri" w:hAnsi="Calibri" w:cs="Times New Roman"/>
          <w:sz w:val="20"/>
        </w:rPr>
      </w:pPr>
    </w:p>
    <w:p w:rsidR="00055B94" w:rsidRPr="00F03224" w:rsidRDefault="00055B94" w:rsidP="00F03224">
      <w:pPr>
        <w:spacing w:after="160" w:line="259" w:lineRule="auto"/>
        <w:jc w:val="center"/>
        <w:rPr>
          <w:rFonts w:ascii="Calibri" w:eastAsia="Calibri" w:hAnsi="Calibri" w:cs="Times New Roman"/>
        </w:rPr>
      </w:pPr>
      <w:r w:rsidRPr="00F03224">
        <w:rPr>
          <w:rFonts w:ascii="Calibri" w:eastAsia="Calibri" w:hAnsi="Calibri" w:cs="Times New Roman"/>
          <w:sz w:val="20"/>
        </w:rPr>
        <w:br w:type="page"/>
      </w:r>
      <w:r w:rsidRPr="00F03224">
        <w:rPr>
          <w:rFonts w:ascii="Calibri" w:eastAsia="Calibri" w:hAnsi="Calibri" w:cs="Times New Roman"/>
          <w:b/>
        </w:rPr>
        <w:lastRenderedPageBreak/>
        <w:t xml:space="preserve">Table 3: Accuracy of public perceptions of the value of benefits </w:t>
      </w:r>
      <w:r w:rsidRPr="00F03224">
        <w:rPr>
          <w:rFonts w:ascii="Calibri" w:eastAsia="Calibri" w:hAnsi="Calibri" w:cs="Times New Roman"/>
        </w:rPr>
        <w:t>(British Social Attitudes, various years)</w:t>
      </w:r>
    </w:p>
    <w:tbl>
      <w:tblPr>
        <w:tblW w:w="10100" w:type="dxa"/>
        <w:jc w:val="center"/>
        <w:tblLook w:val="04A0" w:firstRow="1" w:lastRow="0" w:firstColumn="1" w:lastColumn="0" w:noHBand="0" w:noVBand="1"/>
      </w:tblPr>
      <w:tblGrid>
        <w:gridCol w:w="757"/>
        <w:gridCol w:w="4445"/>
        <w:gridCol w:w="1138"/>
        <w:gridCol w:w="1138"/>
        <w:gridCol w:w="1000"/>
        <w:gridCol w:w="1000"/>
        <w:gridCol w:w="622"/>
      </w:tblGrid>
      <w:tr w:rsidR="00055B94" w:rsidRPr="00F03224" w:rsidTr="00D32BA6">
        <w:trPr>
          <w:trHeight w:val="876"/>
          <w:jc w:val="center"/>
        </w:trPr>
        <w:tc>
          <w:tcPr>
            <w:tcW w:w="757" w:type="dxa"/>
            <w:tcBorders>
              <w:top w:val="single" w:sz="4" w:space="0" w:color="auto"/>
              <w:left w:val="single" w:sz="4" w:space="0" w:color="auto"/>
              <w:bottom w:val="double" w:sz="6"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w:t>
            </w:r>
          </w:p>
        </w:tc>
        <w:tc>
          <w:tcPr>
            <w:tcW w:w="4445" w:type="dxa"/>
            <w:tcBorders>
              <w:top w:val="single" w:sz="4" w:space="0" w:color="auto"/>
              <w:left w:val="nil"/>
              <w:bottom w:val="double" w:sz="6" w:space="0" w:color="auto"/>
              <w:right w:val="nil"/>
            </w:tcBorders>
            <w:shd w:val="clear" w:color="000000" w:fill="FFFFFF"/>
            <w:vAlign w:val="center"/>
            <w:hideMark/>
          </w:tcPr>
          <w:p w:rsidR="00055B94" w:rsidRPr="00F03224" w:rsidRDefault="00055B94" w:rsidP="00F03224">
            <w:pPr>
              <w:spacing w:line="240" w:lineRule="auto"/>
              <w:rPr>
                <w:rFonts w:ascii="Calibri" w:eastAsia="Times New Roman" w:hAnsi="Calibri" w:cs="Times New Roman"/>
                <w:b/>
                <w:bCs/>
                <w:i/>
                <w:iCs/>
                <w:color w:val="000000"/>
                <w:szCs w:val="22"/>
                <w:lang w:eastAsia="en-GB"/>
              </w:rPr>
            </w:pPr>
            <w:r w:rsidRPr="00F03224">
              <w:rPr>
                <w:rFonts w:ascii="Calibri" w:eastAsia="Times New Roman" w:hAnsi="Calibri" w:cs="Times New Roman"/>
                <w:b/>
                <w:bCs/>
                <w:i/>
                <w:iCs/>
                <w:color w:val="000000"/>
                <w:szCs w:val="22"/>
                <w:lang w:eastAsia="en-GB"/>
              </w:rPr>
              <w:t>Perceived level of benefits after rent</w:t>
            </w:r>
            <w:r w:rsidRPr="00F03224">
              <w:rPr>
                <w:rFonts w:ascii="Calibri" w:eastAsia="Times New Roman" w:hAnsi="Calibri" w:cs="Times New Roman"/>
                <w:b/>
                <w:bCs/>
                <w:i/>
                <w:iCs/>
                <w:color w:val="000000"/>
                <w:szCs w:val="22"/>
                <w:lang w:eastAsia="en-GB"/>
              </w:rPr>
              <w:br/>
            </w:r>
            <w:r w:rsidRPr="00F03224">
              <w:rPr>
                <w:rFonts w:ascii="Calibri" w:eastAsia="Times New Roman" w:hAnsi="Calibri" w:cs="Times New Roman"/>
                <w:i/>
                <w:iCs/>
                <w:color w:val="000000"/>
                <w:szCs w:val="22"/>
                <w:lang w:eastAsia="en-GB"/>
              </w:rPr>
              <w:t>(BSA, various years)</w:t>
            </w:r>
          </w:p>
        </w:tc>
        <w:tc>
          <w:tcPr>
            <w:tcW w:w="1138" w:type="dxa"/>
            <w:tcBorders>
              <w:top w:val="single" w:sz="4" w:space="0" w:color="auto"/>
              <w:left w:val="nil"/>
              <w:bottom w:val="double" w:sz="6" w:space="0" w:color="auto"/>
              <w:right w:val="nil"/>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Under-estimated benefit</w:t>
            </w:r>
          </w:p>
        </w:tc>
        <w:tc>
          <w:tcPr>
            <w:tcW w:w="1138" w:type="dxa"/>
            <w:tcBorders>
              <w:top w:val="single" w:sz="4" w:space="0" w:color="auto"/>
              <w:left w:val="nil"/>
              <w:bottom w:val="double" w:sz="6" w:space="0" w:color="auto"/>
              <w:right w:val="nil"/>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Over-estimated benefit</w:t>
            </w:r>
          </w:p>
        </w:tc>
        <w:tc>
          <w:tcPr>
            <w:tcW w:w="1000" w:type="dxa"/>
            <w:tcBorders>
              <w:top w:val="single" w:sz="4" w:space="0" w:color="auto"/>
              <w:left w:val="nil"/>
              <w:bottom w:val="double" w:sz="6" w:space="0" w:color="auto"/>
              <w:right w:val="nil"/>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xml:space="preserve">No </w:t>
            </w:r>
            <w:r w:rsidRPr="00F03224">
              <w:rPr>
                <w:rFonts w:ascii="Calibri" w:eastAsia="Times New Roman" w:hAnsi="Calibri" w:cs="Times New Roman"/>
                <w:b/>
                <w:bCs/>
                <w:color w:val="000000"/>
                <w:szCs w:val="22"/>
                <w:lang w:eastAsia="en-GB"/>
              </w:rPr>
              <w:br/>
              <w:t>change</w:t>
            </w:r>
          </w:p>
        </w:tc>
        <w:tc>
          <w:tcPr>
            <w:tcW w:w="1000" w:type="dxa"/>
            <w:tcBorders>
              <w:top w:val="single" w:sz="4" w:space="0" w:color="auto"/>
              <w:left w:val="nil"/>
              <w:bottom w:val="double" w:sz="6" w:space="0" w:color="auto"/>
              <w:right w:val="single" w:sz="4" w:space="0" w:color="auto"/>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color w:val="000000"/>
                <w:szCs w:val="22"/>
                <w:lang w:eastAsia="en-GB"/>
              </w:rPr>
            </w:pPr>
            <w:r w:rsidRPr="00F03224">
              <w:rPr>
                <w:rFonts w:ascii="Calibri" w:eastAsia="Times New Roman" w:hAnsi="Calibri" w:cs="Times New Roman"/>
                <w:b/>
                <w:bCs/>
                <w:color w:val="000000"/>
                <w:szCs w:val="22"/>
                <w:lang w:eastAsia="en-GB"/>
              </w:rPr>
              <w:t xml:space="preserve">Don't </w:t>
            </w:r>
            <w:r w:rsidRPr="00F03224">
              <w:rPr>
                <w:rFonts w:ascii="Calibri" w:eastAsia="Times New Roman" w:hAnsi="Calibri" w:cs="Times New Roman"/>
                <w:b/>
                <w:bCs/>
                <w:color w:val="000000"/>
                <w:szCs w:val="22"/>
                <w:lang w:eastAsia="en-GB"/>
              </w:rPr>
              <w:br/>
              <w:t>know</w:t>
            </w:r>
          </w:p>
        </w:tc>
        <w:tc>
          <w:tcPr>
            <w:tcW w:w="622" w:type="dxa"/>
            <w:tcBorders>
              <w:top w:val="single" w:sz="4" w:space="0" w:color="auto"/>
              <w:left w:val="nil"/>
              <w:bottom w:val="double" w:sz="6" w:space="0" w:color="auto"/>
              <w:right w:val="single" w:sz="4" w:space="0" w:color="auto"/>
            </w:tcBorders>
            <w:shd w:val="clear" w:color="000000" w:fill="FFFFFF"/>
            <w:vAlign w:val="center"/>
            <w:hideMark/>
          </w:tcPr>
          <w:p w:rsidR="00055B94" w:rsidRPr="00F03224" w:rsidRDefault="00055B94" w:rsidP="00F03224">
            <w:pPr>
              <w:spacing w:line="240" w:lineRule="auto"/>
              <w:jc w:val="center"/>
              <w:rPr>
                <w:rFonts w:ascii="Calibri" w:eastAsia="Times New Roman" w:hAnsi="Calibri" w:cs="Times New Roman"/>
                <w:b/>
                <w:bCs/>
                <w:i/>
                <w:iCs/>
                <w:color w:val="000000"/>
                <w:sz w:val="20"/>
                <w:szCs w:val="20"/>
                <w:lang w:eastAsia="en-GB"/>
              </w:rPr>
            </w:pPr>
            <w:r w:rsidRPr="00F03224">
              <w:rPr>
                <w:rFonts w:ascii="Calibri" w:eastAsia="Times New Roman" w:hAnsi="Calibri" w:cs="Times New Roman"/>
                <w:b/>
                <w:bCs/>
                <w:i/>
                <w:iCs/>
                <w:color w:val="000000"/>
                <w:sz w:val="20"/>
                <w:szCs w:val="20"/>
                <w:lang w:eastAsia="en-GB"/>
              </w:rPr>
              <w:t>n</w:t>
            </w:r>
          </w:p>
        </w:tc>
      </w:tr>
      <w:tr w:rsidR="00055B94" w:rsidRPr="00F03224" w:rsidTr="00D32BA6">
        <w:trPr>
          <w:trHeight w:val="300"/>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woman on £45, 1994</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18.8%</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16.1%</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57.6%</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7.5%</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1160</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C2</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woman on £47, 1995</w:t>
            </w:r>
            <w:r w:rsidRPr="00F03224">
              <w:rPr>
                <w:rFonts w:ascii="Calibri" w:eastAsia="Calibri" w:hAnsi="Calibri" w:cs="Times New Roman"/>
                <w:sz w:val="20"/>
              </w:rPr>
              <w:t>‡</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16.3%</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21.1%</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53.7%</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8.9%</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1228</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C3</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woman on £52, 2000</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15.6%</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23.6%</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50.7%</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10.1%</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3415</w:t>
            </w:r>
          </w:p>
        </w:tc>
      </w:tr>
      <w:tr w:rsidR="00055B94" w:rsidRPr="00F03224" w:rsidTr="00D32BA6">
        <w:trPr>
          <w:trHeight w:val="288"/>
          <w:jc w:val="center"/>
        </w:trPr>
        <w:tc>
          <w:tcPr>
            <w:tcW w:w="757" w:type="dxa"/>
            <w:tcBorders>
              <w:top w:val="nil"/>
              <w:left w:val="single" w:sz="4" w:space="0" w:color="auto"/>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C4</w:t>
            </w:r>
          </w:p>
        </w:tc>
        <w:tc>
          <w:tcPr>
            <w:tcW w:w="4445" w:type="dxa"/>
            <w:tcBorders>
              <w:top w:val="nil"/>
              <w:left w:val="nil"/>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woman on £72, 2013</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13.1%</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23.8%</w:t>
            </w:r>
          </w:p>
        </w:tc>
        <w:tc>
          <w:tcPr>
            <w:tcW w:w="1000"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51.7%</w:t>
            </w:r>
          </w:p>
        </w:tc>
        <w:tc>
          <w:tcPr>
            <w:tcW w:w="100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11.4%</w:t>
            </w:r>
          </w:p>
        </w:tc>
        <w:tc>
          <w:tcPr>
            <w:tcW w:w="622"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3231</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C5</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 xml:space="preserve">Unemployed couple w/o kids on £79, 1998 </w:t>
            </w:r>
            <w:r w:rsidRPr="00F03224">
              <w:rPr>
                <w:rFonts w:ascii="Calibri" w:eastAsia="Times New Roman" w:hAnsi="Calibri" w:cs="Times New Roman"/>
                <w:color w:val="000000"/>
                <w:szCs w:val="22"/>
                <w:vertAlign w:val="superscript"/>
                <w:lang w:eastAsia="en-GB"/>
              </w:rPr>
              <w:t>A</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10.1%</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37.2%</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45.1%</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7.5%</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1569</w:t>
            </w:r>
          </w:p>
        </w:tc>
      </w:tr>
      <w:tr w:rsidR="00055B94" w:rsidRPr="00F03224" w:rsidTr="00D32BA6">
        <w:trPr>
          <w:trHeight w:val="288"/>
          <w:jc w:val="center"/>
        </w:trPr>
        <w:tc>
          <w:tcPr>
            <w:tcW w:w="757" w:type="dxa"/>
            <w:tcBorders>
              <w:top w:val="nil"/>
              <w:left w:val="single" w:sz="4" w:space="0" w:color="auto"/>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C6</w:t>
            </w:r>
          </w:p>
        </w:tc>
        <w:tc>
          <w:tcPr>
            <w:tcW w:w="4445" w:type="dxa"/>
            <w:tcBorders>
              <w:top w:val="nil"/>
              <w:left w:val="nil"/>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couple w/o kids on £88, 2005</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8.0%</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35.9%</w:t>
            </w:r>
          </w:p>
        </w:tc>
        <w:tc>
          <w:tcPr>
            <w:tcW w:w="1000"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43.4%</w:t>
            </w:r>
          </w:p>
        </w:tc>
        <w:tc>
          <w:tcPr>
            <w:tcW w:w="100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12.8%</w:t>
            </w:r>
          </w:p>
        </w:tc>
        <w:tc>
          <w:tcPr>
            <w:tcW w:w="622"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3177</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C7</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mother on £77, 1994</w:t>
            </w:r>
            <w:r w:rsidRPr="00F03224">
              <w:rPr>
                <w:rFonts w:ascii="Calibri" w:eastAsia="Calibri" w:hAnsi="Calibri" w:cs="Times New Roman"/>
                <w:sz w:val="20"/>
              </w:rPr>
              <w:t>‡</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34.3%</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9.1%</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50.5%</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6.2%</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1159</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C8</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mother on £78, 1995</w:t>
            </w:r>
            <w:r w:rsidRPr="00F03224">
              <w:rPr>
                <w:rFonts w:ascii="Calibri" w:eastAsia="Calibri" w:hAnsi="Calibri" w:cs="Times New Roman"/>
                <w:sz w:val="20"/>
              </w:rPr>
              <w:t>‡</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24.3%</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10.4%</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59.4%</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5.9%</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1227</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C9</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mother on £95, 2000</w:t>
            </w:r>
            <w:r w:rsidRPr="00F03224">
              <w:rPr>
                <w:rFonts w:ascii="Calibri" w:eastAsia="Calibri" w:hAnsi="Calibri" w:cs="Times New Roman"/>
                <w:sz w:val="20"/>
              </w:rPr>
              <w:t>‡</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31.6%</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9.7%</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51.4%</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7.3%</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3413</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C10</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Unemployed single mother on £130, 2004*</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27.3%</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11.9%</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51.6%</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9.2%</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3175</w:t>
            </w:r>
          </w:p>
        </w:tc>
      </w:tr>
      <w:tr w:rsidR="00055B94" w:rsidRPr="00F03224" w:rsidTr="00D32BA6">
        <w:trPr>
          <w:trHeight w:val="288"/>
          <w:jc w:val="center"/>
        </w:trPr>
        <w:tc>
          <w:tcPr>
            <w:tcW w:w="757" w:type="dxa"/>
            <w:tcBorders>
              <w:top w:val="nil"/>
              <w:left w:val="single" w:sz="4" w:space="0" w:color="auto"/>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C11</w:t>
            </w:r>
          </w:p>
        </w:tc>
        <w:tc>
          <w:tcPr>
            <w:tcW w:w="4445" w:type="dxa"/>
            <w:tcBorders>
              <w:top w:val="nil"/>
              <w:left w:val="nil"/>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Unemployed single mother on £130, 2008</w:t>
            </w:r>
            <w:r w:rsidRPr="00F03224">
              <w:rPr>
                <w:rFonts w:ascii="Calibri" w:eastAsia="Calibri" w:hAnsi="Calibri" w:cs="Times New Roman"/>
                <w:sz w:val="20"/>
              </w:rPr>
              <w:t>‡</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19.3%</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15.7%</w:t>
            </w:r>
          </w:p>
        </w:tc>
        <w:tc>
          <w:tcPr>
            <w:tcW w:w="1000"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54.8%</w:t>
            </w:r>
          </w:p>
        </w:tc>
        <w:tc>
          <w:tcPr>
            <w:tcW w:w="100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10.3%</w:t>
            </w:r>
          </w:p>
        </w:tc>
        <w:tc>
          <w:tcPr>
            <w:tcW w:w="622"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3340</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C12</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Single pensioner on £82, 2000</w:t>
            </w:r>
            <w:r w:rsidRPr="00F03224">
              <w:rPr>
                <w:rFonts w:ascii="Calibri" w:eastAsia="Calibri" w:hAnsi="Calibri" w:cs="Times New Roman"/>
                <w:sz w:val="20"/>
              </w:rPr>
              <w:t>‡</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43.5%</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5.0%</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48.0%</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3.4%</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3405</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C13</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Single pensioner on £105, 2004</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29.8%</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10.7%</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55.6%</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3.9%</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3175</w:t>
            </w:r>
          </w:p>
        </w:tc>
      </w:tr>
      <w:tr w:rsidR="00055B94" w:rsidRPr="00F03224" w:rsidTr="00D32BA6">
        <w:trPr>
          <w:trHeight w:val="288"/>
          <w:jc w:val="center"/>
        </w:trPr>
        <w:tc>
          <w:tcPr>
            <w:tcW w:w="757" w:type="dxa"/>
            <w:tcBorders>
              <w:top w:val="nil"/>
              <w:left w:val="single" w:sz="4" w:space="0" w:color="auto"/>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C14</w:t>
            </w:r>
          </w:p>
        </w:tc>
        <w:tc>
          <w:tcPr>
            <w:tcW w:w="4445" w:type="dxa"/>
            <w:tcBorders>
              <w:top w:val="nil"/>
              <w:left w:val="nil"/>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Single pensioner on £119, 2008</w:t>
            </w:r>
            <w:r w:rsidRPr="00F03224">
              <w:rPr>
                <w:rFonts w:ascii="Calibri" w:eastAsia="Calibri" w:hAnsi="Calibri" w:cs="Times New Roman"/>
                <w:sz w:val="20"/>
              </w:rPr>
              <w:t>‡</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26.1%</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10.8%</w:t>
            </w:r>
          </w:p>
        </w:tc>
        <w:tc>
          <w:tcPr>
            <w:tcW w:w="1000"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58.7%</w:t>
            </w:r>
          </w:p>
        </w:tc>
        <w:tc>
          <w:tcPr>
            <w:tcW w:w="100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4.4%</w:t>
            </w:r>
          </w:p>
        </w:tc>
        <w:tc>
          <w:tcPr>
            <w:tcW w:w="622"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3343</w:t>
            </w:r>
          </w:p>
        </w:tc>
      </w:tr>
      <w:tr w:rsidR="00055B94" w:rsidRPr="00F03224" w:rsidTr="00D32BA6">
        <w:trPr>
          <w:trHeight w:val="288"/>
          <w:jc w:val="center"/>
        </w:trPr>
        <w:tc>
          <w:tcPr>
            <w:tcW w:w="757" w:type="dxa"/>
            <w:tcBorders>
              <w:top w:val="nil"/>
              <w:left w:val="single" w:sz="4" w:space="0" w:color="auto"/>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C15</w:t>
            </w:r>
          </w:p>
        </w:tc>
        <w:tc>
          <w:tcPr>
            <w:tcW w:w="4445" w:type="dxa"/>
            <w:tcBorders>
              <w:top w:val="nil"/>
              <w:left w:val="nil"/>
              <w:bottom w:val="nil"/>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 xml:space="preserve">Pensioner couple on £103, 1998 </w:t>
            </w:r>
            <w:r w:rsidRPr="00F03224">
              <w:rPr>
                <w:rFonts w:ascii="Calibri" w:eastAsia="Times New Roman" w:hAnsi="Calibri" w:cs="Times New Roman"/>
                <w:color w:val="000000"/>
                <w:szCs w:val="22"/>
                <w:vertAlign w:val="superscript"/>
                <w:lang w:eastAsia="en-GB"/>
              </w:rPr>
              <w:t>A</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38.5%</w:t>
            </w:r>
          </w:p>
        </w:tc>
        <w:tc>
          <w:tcPr>
            <w:tcW w:w="1138"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9.6%</w:t>
            </w:r>
          </w:p>
        </w:tc>
        <w:tc>
          <w:tcPr>
            <w:tcW w:w="1000" w:type="dxa"/>
            <w:tcBorders>
              <w:top w:val="nil"/>
              <w:left w:val="nil"/>
              <w:bottom w:val="nil"/>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48.3%</w:t>
            </w:r>
          </w:p>
        </w:tc>
        <w:tc>
          <w:tcPr>
            <w:tcW w:w="1000"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3.7%</w:t>
            </w:r>
          </w:p>
        </w:tc>
        <w:tc>
          <w:tcPr>
            <w:tcW w:w="622" w:type="dxa"/>
            <w:tcBorders>
              <w:top w:val="nil"/>
              <w:left w:val="nil"/>
              <w:bottom w:val="nil"/>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1573</w:t>
            </w:r>
          </w:p>
        </w:tc>
      </w:tr>
      <w:tr w:rsidR="00055B94" w:rsidRPr="00F03224" w:rsidTr="00D32BA6">
        <w:trPr>
          <w:trHeight w:val="300"/>
          <w:jc w:val="center"/>
        </w:trPr>
        <w:tc>
          <w:tcPr>
            <w:tcW w:w="757" w:type="dxa"/>
            <w:tcBorders>
              <w:top w:val="nil"/>
              <w:left w:val="single" w:sz="4" w:space="0" w:color="auto"/>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C16</w:t>
            </w:r>
          </w:p>
        </w:tc>
        <w:tc>
          <w:tcPr>
            <w:tcW w:w="4445" w:type="dxa"/>
            <w:tcBorders>
              <w:top w:val="nil"/>
              <w:left w:val="nil"/>
              <w:bottom w:val="single" w:sz="4"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Pensioner couple on £171, 2005</w:t>
            </w:r>
            <w:r w:rsidRPr="00F03224">
              <w:rPr>
                <w:rFonts w:ascii="Calibri" w:eastAsia="Calibri" w:hAnsi="Calibri" w:cs="Times New Roman"/>
                <w:sz w:val="20"/>
              </w:rPr>
              <w:t>‡</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51.9%</w:t>
            </w:r>
          </w:p>
        </w:tc>
        <w:tc>
          <w:tcPr>
            <w:tcW w:w="1138"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3.8%</w:t>
            </w:r>
          </w:p>
        </w:tc>
        <w:tc>
          <w:tcPr>
            <w:tcW w:w="1000" w:type="dxa"/>
            <w:tcBorders>
              <w:top w:val="nil"/>
              <w:left w:val="nil"/>
              <w:bottom w:val="single" w:sz="4"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39.4%</w:t>
            </w:r>
          </w:p>
        </w:tc>
        <w:tc>
          <w:tcPr>
            <w:tcW w:w="1000"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color w:val="000000"/>
                <w:szCs w:val="22"/>
                <w:lang w:eastAsia="en-GB"/>
              </w:rPr>
            </w:pPr>
            <w:r w:rsidRPr="00F03224">
              <w:rPr>
                <w:rFonts w:ascii="Calibri" w:eastAsia="Times New Roman" w:hAnsi="Calibri" w:cs="Times New Roman"/>
                <w:color w:val="000000"/>
                <w:szCs w:val="22"/>
                <w:lang w:eastAsia="en-GB"/>
              </w:rPr>
              <w:t>4.9%</w:t>
            </w:r>
          </w:p>
        </w:tc>
        <w:tc>
          <w:tcPr>
            <w:tcW w:w="622" w:type="dxa"/>
            <w:tcBorders>
              <w:top w:val="nil"/>
              <w:left w:val="nil"/>
              <w:bottom w:val="single" w:sz="4"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3180</w:t>
            </w:r>
          </w:p>
        </w:tc>
      </w:tr>
      <w:tr w:rsidR="00055B94" w:rsidRPr="00F03224" w:rsidTr="00D32BA6">
        <w:trPr>
          <w:trHeight w:val="312"/>
          <w:jc w:val="center"/>
        </w:trPr>
        <w:tc>
          <w:tcPr>
            <w:tcW w:w="757" w:type="dxa"/>
            <w:tcBorders>
              <w:top w:val="double" w:sz="6" w:space="0" w:color="auto"/>
              <w:left w:val="single" w:sz="4" w:space="0" w:color="auto"/>
              <w:bottom w:val="double" w:sz="6"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C17</w:t>
            </w:r>
          </w:p>
        </w:tc>
        <w:tc>
          <w:tcPr>
            <w:tcW w:w="4445" w:type="dxa"/>
            <w:tcBorders>
              <w:top w:val="double" w:sz="6" w:space="0" w:color="auto"/>
              <w:left w:val="nil"/>
              <w:bottom w:val="double" w:sz="6" w:space="0" w:color="auto"/>
              <w:right w:val="nil"/>
            </w:tcBorders>
            <w:shd w:val="clear" w:color="000000" w:fill="FFFFFF"/>
            <w:vAlign w:val="bottom"/>
            <w:hideMark/>
          </w:tcPr>
          <w:p w:rsidR="00055B94" w:rsidRPr="00F03224" w:rsidRDefault="00055B94" w:rsidP="00F03224">
            <w:pPr>
              <w:spacing w:line="240" w:lineRule="auto"/>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Non-working carer on £146, 2004*</w:t>
            </w:r>
          </w:p>
        </w:tc>
        <w:tc>
          <w:tcPr>
            <w:tcW w:w="1138" w:type="dxa"/>
            <w:tcBorders>
              <w:top w:val="double" w:sz="6" w:space="0" w:color="auto"/>
              <w:left w:val="nil"/>
              <w:bottom w:val="double" w:sz="6"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24.8%</w:t>
            </w:r>
          </w:p>
        </w:tc>
        <w:tc>
          <w:tcPr>
            <w:tcW w:w="1138" w:type="dxa"/>
            <w:tcBorders>
              <w:top w:val="double" w:sz="6" w:space="0" w:color="auto"/>
              <w:left w:val="nil"/>
              <w:bottom w:val="double" w:sz="6"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11.6%</w:t>
            </w:r>
          </w:p>
        </w:tc>
        <w:tc>
          <w:tcPr>
            <w:tcW w:w="1000" w:type="dxa"/>
            <w:tcBorders>
              <w:top w:val="double" w:sz="6" w:space="0" w:color="auto"/>
              <w:left w:val="nil"/>
              <w:bottom w:val="double" w:sz="6" w:space="0" w:color="auto"/>
              <w:right w:val="nil"/>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56.4%</w:t>
            </w:r>
          </w:p>
        </w:tc>
        <w:tc>
          <w:tcPr>
            <w:tcW w:w="1000" w:type="dxa"/>
            <w:tcBorders>
              <w:top w:val="double" w:sz="6" w:space="0" w:color="auto"/>
              <w:left w:val="nil"/>
              <w:bottom w:val="double" w:sz="6"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Cs w:val="22"/>
                <w:lang w:eastAsia="en-GB"/>
              </w:rPr>
            </w:pPr>
            <w:r w:rsidRPr="00F03224">
              <w:rPr>
                <w:rFonts w:ascii="Calibri" w:eastAsia="Times New Roman" w:hAnsi="Calibri" w:cs="Times New Roman"/>
                <w:i/>
                <w:iCs/>
                <w:color w:val="000000"/>
                <w:szCs w:val="22"/>
                <w:lang w:eastAsia="en-GB"/>
              </w:rPr>
              <w:t>7.2%</w:t>
            </w:r>
          </w:p>
        </w:tc>
        <w:tc>
          <w:tcPr>
            <w:tcW w:w="622" w:type="dxa"/>
            <w:tcBorders>
              <w:top w:val="double" w:sz="6" w:space="0" w:color="auto"/>
              <w:left w:val="nil"/>
              <w:bottom w:val="double" w:sz="6" w:space="0" w:color="auto"/>
              <w:right w:val="single" w:sz="4" w:space="0" w:color="auto"/>
            </w:tcBorders>
            <w:shd w:val="clear" w:color="000000" w:fill="FFFFFF"/>
            <w:noWrap/>
            <w:vAlign w:val="bottom"/>
            <w:hideMark/>
          </w:tcPr>
          <w:p w:rsidR="00055B94" w:rsidRPr="00F03224" w:rsidRDefault="00055B94" w:rsidP="00F03224">
            <w:pPr>
              <w:spacing w:line="240" w:lineRule="auto"/>
              <w:jc w:val="right"/>
              <w:rPr>
                <w:rFonts w:ascii="Calibri" w:eastAsia="Times New Roman" w:hAnsi="Calibri" w:cs="Times New Roman"/>
                <w:i/>
                <w:iCs/>
                <w:color w:val="000000"/>
                <w:sz w:val="20"/>
                <w:szCs w:val="20"/>
                <w:lang w:eastAsia="en-GB"/>
              </w:rPr>
            </w:pPr>
            <w:r w:rsidRPr="00F03224">
              <w:rPr>
                <w:rFonts w:ascii="Calibri" w:eastAsia="Times New Roman" w:hAnsi="Calibri" w:cs="Times New Roman"/>
                <w:i/>
                <w:iCs/>
                <w:color w:val="000000"/>
                <w:sz w:val="20"/>
                <w:szCs w:val="20"/>
                <w:lang w:eastAsia="en-GB"/>
              </w:rPr>
              <w:t>3168</w:t>
            </w:r>
          </w:p>
        </w:tc>
      </w:tr>
    </w:tbl>
    <w:p w:rsidR="00055B94" w:rsidRPr="00F03224" w:rsidRDefault="00055B94" w:rsidP="00F03224">
      <w:pPr>
        <w:spacing w:line="240" w:lineRule="auto"/>
        <w:ind w:left="2127"/>
        <w:rPr>
          <w:rFonts w:ascii="Calibri" w:eastAsia="Calibri" w:hAnsi="Calibri" w:cs="Times New Roman"/>
          <w:sz w:val="20"/>
        </w:rPr>
      </w:pPr>
      <w:r w:rsidRPr="00F03224">
        <w:rPr>
          <w:rFonts w:ascii="Calibri" w:eastAsia="Calibri" w:hAnsi="Calibri" w:cs="Times New Roman"/>
          <w:sz w:val="20"/>
        </w:rPr>
        <w:t>* = Major Issues around the 'true' figure - see text &amp; Web Appendix 4</w:t>
      </w:r>
    </w:p>
    <w:p w:rsidR="00055B94" w:rsidRPr="00F03224" w:rsidRDefault="00055B94" w:rsidP="00F03224">
      <w:pPr>
        <w:spacing w:line="240" w:lineRule="auto"/>
        <w:ind w:left="2127"/>
        <w:rPr>
          <w:rFonts w:ascii="Calibri" w:eastAsia="Calibri" w:hAnsi="Calibri" w:cs="Times New Roman"/>
          <w:sz w:val="20"/>
        </w:rPr>
      </w:pPr>
      <w:r w:rsidRPr="00F03224">
        <w:rPr>
          <w:rFonts w:ascii="Calibri" w:eastAsia="Calibri" w:hAnsi="Calibri" w:cs="Times New Roman"/>
          <w:sz w:val="20"/>
          <w:vertAlign w:val="superscript"/>
        </w:rPr>
        <w:t>A</w:t>
      </w:r>
      <w:r w:rsidRPr="00F03224">
        <w:rPr>
          <w:rFonts w:ascii="Calibri" w:eastAsia="Calibri" w:hAnsi="Calibri" w:cs="Times New Roman"/>
          <w:sz w:val="20"/>
        </w:rPr>
        <w:t xml:space="preserve"> Slightly different wording ('married couple' in 1998, rather than 'couple living together' in 2005)</w:t>
      </w:r>
    </w:p>
    <w:p w:rsidR="00055B94" w:rsidRPr="00F03224" w:rsidRDefault="00055B94" w:rsidP="00F03224">
      <w:pPr>
        <w:spacing w:after="120" w:line="240" w:lineRule="auto"/>
        <w:jc w:val="center"/>
        <w:rPr>
          <w:rFonts w:ascii="Calibri" w:eastAsia="Calibri" w:hAnsi="Calibri" w:cs="Times New Roman"/>
        </w:rPr>
      </w:pPr>
    </w:p>
    <w:p w:rsidR="00055B94" w:rsidRPr="00F03224" w:rsidRDefault="00055B94" w:rsidP="00F03224">
      <w:pPr>
        <w:spacing w:after="120" w:line="240" w:lineRule="auto"/>
        <w:rPr>
          <w:rFonts w:ascii="Calibri" w:eastAsia="Calibri" w:hAnsi="Calibri" w:cs="Times New Roman"/>
        </w:rPr>
      </w:pPr>
    </w:p>
    <w:p w:rsidR="000A7C6F" w:rsidRDefault="00CD72CF" w:rsidP="00846D9A">
      <w:pPr>
        <w:pStyle w:val="Heading2"/>
      </w:pPr>
      <w:r>
        <w:t xml:space="preserve"> </w:t>
      </w:r>
    </w:p>
    <w:sectPr w:rsidR="000A7C6F" w:rsidSect="00846D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87" w:rsidRDefault="00C16887">
      <w:pPr>
        <w:spacing w:line="240" w:lineRule="auto"/>
      </w:pPr>
      <w:r>
        <w:separator/>
      </w:r>
    </w:p>
  </w:endnote>
  <w:endnote w:type="continuationSeparator" w:id="0">
    <w:p w:rsidR="00C16887" w:rsidRDefault="00C16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40447"/>
      <w:docPartObj>
        <w:docPartGallery w:val="Page Numbers (Bottom of Page)"/>
        <w:docPartUnique/>
      </w:docPartObj>
    </w:sdtPr>
    <w:sdtEndPr>
      <w:rPr>
        <w:i/>
        <w:noProof/>
        <w:sz w:val="18"/>
      </w:rPr>
    </w:sdtEndPr>
    <w:sdtContent>
      <w:p w:rsidR="00D638CC" w:rsidRPr="00D638CC" w:rsidRDefault="00CD72CF">
        <w:pPr>
          <w:pStyle w:val="Footer"/>
          <w:jc w:val="center"/>
          <w:rPr>
            <w:i/>
            <w:sz w:val="18"/>
          </w:rPr>
        </w:pPr>
        <w:r w:rsidRPr="00D638CC">
          <w:rPr>
            <w:i/>
            <w:sz w:val="18"/>
          </w:rPr>
          <w:t xml:space="preserve">Page </w:t>
        </w:r>
        <w:r w:rsidRPr="00D638CC">
          <w:rPr>
            <w:i/>
            <w:sz w:val="18"/>
          </w:rPr>
          <w:fldChar w:fldCharType="begin"/>
        </w:r>
        <w:r w:rsidRPr="00D638CC">
          <w:rPr>
            <w:i/>
            <w:sz w:val="18"/>
          </w:rPr>
          <w:instrText xml:space="preserve"> PAGE   \* MERGEFORMAT </w:instrText>
        </w:r>
        <w:r w:rsidRPr="00D638CC">
          <w:rPr>
            <w:i/>
            <w:sz w:val="18"/>
          </w:rPr>
          <w:fldChar w:fldCharType="separate"/>
        </w:r>
        <w:r w:rsidR="00C337F4">
          <w:rPr>
            <w:i/>
            <w:noProof/>
            <w:sz w:val="18"/>
          </w:rPr>
          <w:t>1</w:t>
        </w:r>
        <w:r w:rsidRPr="00D638CC">
          <w:rPr>
            <w:i/>
            <w:noProof/>
            <w:sz w:val="18"/>
          </w:rPr>
          <w:fldChar w:fldCharType="end"/>
        </w:r>
      </w:p>
    </w:sdtContent>
  </w:sdt>
  <w:p w:rsidR="00D638CC" w:rsidRDefault="00C16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87" w:rsidRDefault="00C16887">
      <w:pPr>
        <w:spacing w:line="240" w:lineRule="auto"/>
      </w:pPr>
      <w:r>
        <w:separator/>
      </w:r>
    </w:p>
  </w:footnote>
  <w:footnote w:type="continuationSeparator" w:id="0">
    <w:p w:rsidR="00C16887" w:rsidRDefault="00C168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6E0"/>
    <w:multiLevelType w:val="hybridMultilevel"/>
    <w:tmpl w:val="4538F25A"/>
    <w:lvl w:ilvl="0" w:tplc="3BE2BE0C">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7F23CA"/>
    <w:multiLevelType w:val="multilevel"/>
    <w:tmpl w:val="505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715B7B"/>
    <w:multiLevelType w:val="multilevel"/>
    <w:tmpl w:val="920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1220A0"/>
    <w:multiLevelType w:val="multilevel"/>
    <w:tmpl w:val="B58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3A7566"/>
    <w:multiLevelType w:val="hybridMultilevel"/>
    <w:tmpl w:val="D7F0AA70"/>
    <w:lvl w:ilvl="0" w:tplc="528090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E7B53"/>
    <w:multiLevelType w:val="multilevel"/>
    <w:tmpl w:val="DD386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BE67828"/>
    <w:multiLevelType w:val="hybridMultilevel"/>
    <w:tmpl w:val="ABF08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5D7D1E"/>
    <w:multiLevelType w:val="multilevel"/>
    <w:tmpl w:val="63D44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081694"/>
    <w:multiLevelType w:val="hybridMultilevel"/>
    <w:tmpl w:val="77D6C1E8"/>
    <w:lvl w:ilvl="0" w:tplc="E35CE7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6F2DAB"/>
    <w:multiLevelType w:val="multilevel"/>
    <w:tmpl w:val="848C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E311AC"/>
    <w:multiLevelType w:val="multilevel"/>
    <w:tmpl w:val="500C76A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405360EC"/>
    <w:multiLevelType w:val="multilevel"/>
    <w:tmpl w:val="102C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3F3EBC"/>
    <w:multiLevelType w:val="multilevel"/>
    <w:tmpl w:val="DB16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4C37CE"/>
    <w:multiLevelType w:val="hybridMultilevel"/>
    <w:tmpl w:val="E3F49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FAF74F1"/>
    <w:multiLevelType w:val="multilevel"/>
    <w:tmpl w:val="20DC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6634DA"/>
    <w:multiLevelType w:val="hybridMultilevel"/>
    <w:tmpl w:val="8782E826"/>
    <w:lvl w:ilvl="0" w:tplc="90963E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59006F"/>
    <w:multiLevelType w:val="multilevel"/>
    <w:tmpl w:val="974A7C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F5E54"/>
    <w:multiLevelType w:val="hybridMultilevel"/>
    <w:tmpl w:val="91A6015A"/>
    <w:lvl w:ilvl="0" w:tplc="01A8E2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AB715E"/>
    <w:multiLevelType w:val="multilevel"/>
    <w:tmpl w:val="DDCA5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051BD"/>
    <w:multiLevelType w:val="multilevel"/>
    <w:tmpl w:val="E76A5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0505CD"/>
    <w:multiLevelType w:val="hybridMultilevel"/>
    <w:tmpl w:val="3C4A2C5A"/>
    <w:lvl w:ilvl="0" w:tplc="08FAA75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52779"/>
    <w:multiLevelType w:val="multilevel"/>
    <w:tmpl w:val="F42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070F62"/>
    <w:multiLevelType w:val="hybridMultilevel"/>
    <w:tmpl w:val="BDD8C104"/>
    <w:lvl w:ilvl="0" w:tplc="3BE2BE0C">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6"/>
  </w:num>
  <w:num w:numId="5">
    <w:abstractNumId w:val="12"/>
  </w:num>
  <w:num w:numId="6">
    <w:abstractNumId w:val="4"/>
  </w:num>
  <w:num w:numId="7">
    <w:abstractNumId w:val="11"/>
  </w:num>
  <w:num w:numId="8">
    <w:abstractNumId w:val="8"/>
  </w:num>
  <w:num w:numId="9">
    <w:abstractNumId w:val="0"/>
  </w:num>
  <w:num w:numId="10">
    <w:abstractNumId w:val="1"/>
  </w:num>
  <w:num w:numId="11">
    <w:abstractNumId w:val="9"/>
  </w:num>
  <w:num w:numId="12">
    <w:abstractNumId w:val="2"/>
  </w:num>
  <w:num w:numId="13">
    <w:abstractNumId w:val="14"/>
  </w:num>
  <w:num w:numId="14">
    <w:abstractNumId w:val="5"/>
  </w:num>
  <w:num w:numId="15">
    <w:abstractNumId w:val="21"/>
  </w:num>
  <w:num w:numId="16">
    <w:abstractNumId w:val="7"/>
  </w:num>
  <w:num w:numId="17">
    <w:abstractNumId w:val="15"/>
  </w:num>
  <w:num w:numId="18">
    <w:abstractNumId w:val="3"/>
  </w:num>
  <w:num w:numId="19">
    <w:abstractNumId w:val="16"/>
  </w:num>
  <w:num w:numId="20">
    <w:abstractNumId w:val="10"/>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B94"/>
    <w:rsid w:val="000325D4"/>
    <w:rsid w:val="00055B94"/>
    <w:rsid w:val="000A7C6F"/>
    <w:rsid w:val="000F35BF"/>
    <w:rsid w:val="00145924"/>
    <w:rsid w:val="005F0CED"/>
    <w:rsid w:val="00623B6E"/>
    <w:rsid w:val="0067072B"/>
    <w:rsid w:val="00700133"/>
    <w:rsid w:val="00846D9A"/>
    <w:rsid w:val="009544E2"/>
    <w:rsid w:val="00A62BA2"/>
    <w:rsid w:val="00A80AC9"/>
    <w:rsid w:val="00B203EA"/>
    <w:rsid w:val="00C16887"/>
    <w:rsid w:val="00C337F4"/>
    <w:rsid w:val="00CD72CF"/>
    <w:rsid w:val="00E26FF4"/>
    <w:rsid w:val="00F17047"/>
    <w:rsid w:val="00F20497"/>
    <w:rsid w:val="00F72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94"/>
    <w:pPr>
      <w:spacing w:after="0" w:line="480" w:lineRule="auto"/>
    </w:pPr>
    <w:rPr>
      <w:szCs w:val="24"/>
    </w:rPr>
  </w:style>
  <w:style w:type="paragraph" w:styleId="Heading1">
    <w:name w:val="heading 1"/>
    <w:basedOn w:val="Normal"/>
    <w:next w:val="Normal"/>
    <w:link w:val="Heading1Char"/>
    <w:uiPriority w:val="9"/>
    <w:qFormat/>
    <w:rsid w:val="00055B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5B94"/>
    <w:pPr>
      <w:keepNext/>
      <w:keepLines/>
      <w:spacing w:before="3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5B94"/>
    <w:pPr>
      <w:keepNext/>
      <w:keepLines/>
      <w:spacing w:before="2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055B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5B9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55B94"/>
    <w:pPr>
      <w:spacing w:after="120"/>
      <w:ind w:left="720"/>
    </w:pPr>
    <w:rPr>
      <w:szCs w:val="22"/>
    </w:rPr>
  </w:style>
  <w:style w:type="character" w:customStyle="1" w:styleId="Heading3Char">
    <w:name w:val="Heading 3 Char"/>
    <w:basedOn w:val="DefaultParagraphFont"/>
    <w:link w:val="Heading3"/>
    <w:uiPriority w:val="9"/>
    <w:rsid w:val="00055B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55B94"/>
    <w:rPr>
      <w:rFonts w:asciiTheme="majorHAnsi" w:eastAsiaTheme="majorEastAsia" w:hAnsiTheme="majorHAnsi" w:cstheme="majorBidi"/>
      <w:i/>
      <w:iCs/>
      <w:color w:val="365F91" w:themeColor="accent1" w:themeShade="BF"/>
      <w:szCs w:val="24"/>
    </w:rPr>
  </w:style>
  <w:style w:type="character" w:styleId="Hyperlink">
    <w:name w:val="Hyperlink"/>
    <w:basedOn w:val="DefaultParagraphFont"/>
    <w:uiPriority w:val="99"/>
    <w:unhideWhenUsed/>
    <w:rsid w:val="00055B94"/>
    <w:rPr>
      <w:color w:val="0000FF" w:themeColor="hyperlink"/>
      <w:u w:val="single"/>
    </w:rPr>
  </w:style>
  <w:style w:type="character" w:styleId="CommentReference">
    <w:name w:val="annotation reference"/>
    <w:basedOn w:val="DefaultParagraphFont"/>
    <w:uiPriority w:val="99"/>
    <w:semiHidden/>
    <w:unhideWhenUsed/>
    <w:rsid w:val="00055B94"/>
    <w:rPr>
      <w:sz w:val="16"/>
      <w:szCs w:val="16"/>
    </w:rPr>
  </w:style>
  <w:style w:type="paragraph" w:styleId="CommentText">
    <w:name w:val="annotation text"/>
    <w:basedOn w:val="Normal"/>
    <w:link w:val="CommentTextChar"/>
    <w:uiPriority w:val="99"/>
    <w:unhideWhenUsed/>
    <w:rsid w:val="00055B94"/>
    <w:rPr>
      <w:sz w:val="20"/>
      <w:szCs w:val="20"/>
    </w:rPr>
  </w:style>
  <w:style w:type="character" w:customStyle="1" w:styleId="CommentTextChar">
    <w:name w:val="Comment Text Char"/>
    <w:basedOn w:val="DefaultParagraphFont"/>
    <w:link w:val="CommentText"/>
    <w:uiPriority w:val="99"/>
    <w:rsid w:val="00055B94"/>
    <w:rPr>
      <w:sz w:val="20"/>
      <w:szCs w:val="20"/>
    </w:rPr>
  </w:style>
  <w:style w:type="paragraph" w:styleId="CommentSubject">
    <w:name w:val="annotation subject"/>
    <w:basedOn w:val="CommentText"/>
    <w:next w:val="CommentText"/>
    <w:link w:val="CommentSubjectChar"/>
    <w:uiPriority w:val="99"/>
    <w:semiHidden/>
    <w:unhideWhenUsed/>
    <w:rsid w:val="00055B94"/>
    <w:rPr>
      <w:b/>
      <w:bCs/>
    </w:rPr>
  </w:style>
  <w:style w:type="character" w:customStyle="1" w:styleId="CommentSubjectChar">
    <w:name w:val="Comment Subject Char"/>
    <w:basedOn w:val="CommentTextChar"/>
    <w:link w:val="CommentSubject"/>
    <w:uiPriority w:val="99"/>
    <w:semiHidden/>
    <w:rsid w:val="00055B94"/>
    <w:rPr>
      <w:b/>
      <w:bCs/>
      <w:sz w:val="20"/>
      <w:szCs w:val="20"/>
    </w:rPr>
  </w:style>
  <w:style w:type="paragraph" w:styleId="BalloonText">
    <w:name w:val="Balloon Text"/>
    <w:basedOn w:val="Normal"/>
    <w:link w:val="BalloonTextChar"/>
    <w:uiPriority w:val="99"/>
    <w:semiHidden/>
    <w:unhideWhenUsed/>
    <w:rsid w:val="0005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94"/>
    <w:rPr>
      <w:rFonts w:ascii="Segoe UI" w:hAnsi="Segoe UI" w:cs="Segoe UI"/>
      <w:sz w:val="18"/>
      <w:szCs w:val="18"/>
    </w:rPr>
  </w:style>
  <w:style w:type="paragraph" w:styleId="FootnoteText">
    <w:name w:val="footnote text"/>
    <w:basedOn w:val="Normal"/>
    <w:link w:val="FootnoteTextChar"/>
    <w:uiPriority w:val="99"/>
    <w:semiHidden/>
    <w:unhideWhenUsed/>
    <w:rsid w:val="00055B94"/>
    <w:rPr>
      <w:sz w:val="20"/>
      <w:szCs w:val="20"/>
    </w:rPr>
  </w:style>
  <w:style w:type="character" w:customStyle="1" w:styleId="FootnoteTextChar">
    <w:name w:val="Footnote Text Char"/>
    <w:basedOn w:val="DefaultParagraphFont"/>
    <w:link w:val="FootnoteText"/>
    <w:uiPriority w:val="99"/>
    <w:semiHidden/>
    <w:rsid w:val="00055B94"/>
    <w:rPr>
      <w:sz w:val="20"/>
      <w:szCs w:val="20"/>
    </w:rPr>
  </w:style>
  <w:style w:type="character" w:styleId="FootnoteReference">
    <w:name w:val="footnote reference"/>
    <w:basedOn w:val="DefaultParagraphFont"/>
    <w:uiPriority w:val="99"/>
    <w:semiHidden/>
    <w:unhideWhenUsed/>
    <w:rsid w:val="00055B94"/>
    <w:rPr>
      <w:vertAlign w:val="superscript"/>
    </w:rPr>
  </w:style>
  <w:style w:type="character" w:styleId="FollowedHyperlink">
    <w:name w:val="FollowedHyperlink"/>
    <w:basedOn w:val="DefaultParagraphFont"/>
    <w:uiPriority w:val="99"/>
    <w:semiHidden/>
    <w:unhideWhenUsed/>
    <w:rsid w:val="00055B94"/>
    <w:rPr>
      <w:color w:val="800080" w:themeColor="followedHyperlink"/>
      <w:u w:val="single"/>
    </w:rPr>
  </w:style>
  <w:style w:type="paragraph" w:styleId="NormalWeb">
    <w:name w:val="Normal (Web)"/>
    <w:basedOn w:val="Normal"/>
    <w:uiPriority w:val="99"/>
    <w:semiHidden/>
    <w:unhideWhenUsed/>
    <w:rsid w:val="00055B94"/>
    <w:pPr>
      <w:spacing w:before="100" w:beforeAutospacing="1" w:after="100" w:afterAutospacing="1"/>
    </w:pPr>
    <w:rPr>
      <w:rFonts w:ascii="Times New Roman" w:eastAsia="Times New Roman" w:hAnsi="Times New Roman" w:cs="Times New Roman"/>
      <w:sz w:val="24"/>
      <w:lang w:eastAsia="en-GB"/>
    </w:rPr>
  </w:style>
  <w:style w:type="paragraph" w:customStyle="1" w:styleId="EndNoteBibliographyTitle">
    <w:name w:val="EndNote Bibliography Title"/>
    <w:basedOn w:val="Normal"/>
    <w:link w:val="EndNoteBibliographyTitleChar"/>
    <w:rsid w:val="00055B94"/>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55B94"/>
    <w:rPr>
      <w:rFonts w:ascii="Calibri" w:hAnsi="Calibri"/>
      <w:noProof/>
      <w:szCs w:val="24"/>
      <w:lang w:val="en-US"/>
    </w:rPr>
  </w:style>
  <w:style w:type="paragraph" w:customStyle="1" w:styleId="EndNoteBibliography">
    <w:name w:val="EndNote Bibliography"/>
    <w:basedOn w:val="Normal"/>
    <w:link w:val="EndNoteBibliographyChar"/>
    <w:rsid w:val="00055B9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55B94"/>
    <w:rPr>
      <w:rFonts w:ascii="Calibri" w:hAnsi="Calibri"/>
      <w:noProof/>
      <w:szCs w:val="24"/>
      <w:lang w:val="en-US"/>
    </w:rPr>
  </w:style>
  <w:style w:type="paragraph" w:styleId="Header">
    <w:name w:val="header"/>
    <w:basedOn w:val="Normal"/>
    <w:link w:val="HeaderChar"/>
    <w:uiPriority w:val="99"/>
    <w:unhideWhenUsed/>
    <w:rsid w:val="00055B94"/>
    <w:pPr>
      <w:tabs>
        <w:tab w:val="center" w:pos="4513"/>
        <w:tab w:val="right" w:pos="9026"/>
      </w:tabs>
      <w:spacing w:line="240" w:lineRule="auto"/>
    </w:pPr>
  </w:style>
  <w:style w:type="character" w:customStyle="1" w:styleId="HeaderChar">
    <w:name w:val="Header Char"/>
    <w:basedOn w:val="DefaultParagraphFont"/>
    <w:link w:val="Header"/>
    <w:uiPriority w:val="99"/>
    <w:rsid w:val="00055B94"/>
    <w:rPr>
      <w:szCs w:val="24"/>
    </w:rPr>
  </w:style>
  <w:style w:type="paragraph" w:styleId="Footer">
    <w:name w:val="footer"/>
    <w:basedOn w:val="Normal"/>
    <w:link w:val="FooterChar"/>
    <w:uiPriority w:val="99"/>
    <w:unhideWhenUsed/>
    <w:rsid w:val="00055B94"/>
    <w:pPr>
      <w:tabs>
        <w:tab w:val="center" w:pos="4513"/>
        <w:tab w:val="right" w:pos="9026"/>
      </w:tabs>
      <w:spacing w:line="240" w:lineRule="auto"/>
    </w:pPr>
  </w:style>
  <w:style w:type="character" w:customStyle="1" w:styleId="FooterChar">
    <w:name w:val="Footer Char"/>
    <w:basedOn w:val="DefaultParagraphFont"/>
    <w:link w:val="Footer"/>
    <w:uiPriority w:val="99"/>
    <w:rsid w:val="00055B94"/>
    <w:rPr>
      <w:szCs w:val="24"/>
    </w:rPr>
  </w:style>
  <w:style w:type="paragraph" w:styleId="EndnoteText">
    <w:name w:val="endnote text"/>
    <w:basedOn w:val="Normal"/>
    <w:link w:val="EndnoteTextChar"/>
    <w:uiPriority w:val="99"/>
    <w:semiHidden/>
    <w:unhideWhenUsed/>
    <w:rsid w:val="00055B94"/>
    <w:pPr>
      <w:spacing w:line="240" w:lineRule="auto"/>
    </w:pPr>
    <w:rPr>
      <w:sz w:val="20"/>
      <w:szCs w:val="20"/>
    </w:rPr>
  </w:style>
  <w:style w:type="character" w:customStyle="1" w:styleId="EndnoteTextChar">
    <w:name w:val="Endnote Text Char"/>
    <w:basedOn w:val="DefaultParagraphFont"/>
    <w:link w:val="EndnoteText"/>
    <w:uiPriority w:val="99"/>
    <w:semiHidden/>
    <w:rsid w:val="00055B94"/>
    <w:rPr>
      <w:sz w:val="20"/>
      <w:szCs w:val="20"/>
    </w:rPr>
  </w:style>
  <w:style w:type="character" w:styleId="EndnoteReference">
    <w:name w:val="endnote reference"/>
    <w:basedOn w:val="DefaultParagraphFont"/>
    <w:uiPriority w:val="99"/>
    <w:semiHidden/>
    <w:unhideWhenUsed/>
    <w:rsid w:val="00055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94"/>
    <w:pPr>
      <w:spacing w:after="0" w:line="480" w:lineRule="auto"/>
    </w:pPr>
    <w:rPr>
      <w:szCs w:val="24"/>
    </w:rPr>
  </w:style>
  <w:style w:type="paragraph" w:styleId="Heading1">
    <w:name w:val="heading 1"/>
    <w:basedOn w:val="Normal"/>
    <w:next w:val="Normal"/>
    <w:link w:val="Heading1Char"/>
    <w:uiPriority w:val="9"/>
    <w:qFormat/>
    <w:rsid w:val="00055B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5B94"/>
    <w:pPr>
      <w:keepNext/>
      <w:keepLines/>
      <w:spacing w:before="3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5B94"/>
    <w:pPr>
      <w:keepNext/>
      <w:keepLines/>
      <w:spacing w:before="2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055B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5B9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55B94"/>
    <w:pPr>
      <w:spacing w:after="120"/>
      <w:ind w:left="720"/>
    </w:pPr>
    <w:rPr>
      <w:szCs w:val="22"/>
    </w:rPr>
  </w:style>
  <w:style w:type="character" w:customStyle="1" w:styleId="Heading3Char">
    <w:name w:val="Heading 3 Char"/>
    <w:basedOn w:val="DefaultParagraphFont"/>
    <w:link w:val="Heading3"/>
    <w:uiPriority w:val="9"/>
    <w:rsid w:val="00055B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55B94"/>
    <w:rPr>
      <w:rFonts w:asciiTheme="majorHAnsi" w:eastAsiaTheme="majorEastAsia" w:hAnsiTheme="majorHAnsi" w:cstheme="majorBidi"/>
      <w:i/>
      <w:iCs/>
      <w:color w:val="365F91" w:themeColor="accent1" w:themeShade="BF"/>
      <w:szCs w:val="24"/>
    </w:rPr>
  </w:style>
  <w:style w:type="character" w:styleId="Hyperlink">
    <w:name w:val="Hyperlink"/>
    <w:basedOn w:val="DefaultParagraphFont"/>
    <w:uiPriority w:val="99"/>
    <w:unhideWhenUsed/>
    <w:rsid w:val="00055B94"/>
    <w:rPr>
      <w:color w:val="0000FF" w:themeColor="hyperlink"/>
      <w:u w:val="single"/>
    </w:rPr>
  </w:style>
  <w:style w:type="character" w:styleId="CommentReference">
    <w:name w:val="annotation reference"/>
    <w:basedOn w:val="DefaultParagraphFont"/>
    <w:uiPriority w:val="99"/>
    <w:semiHidden/>
    <w:unhideWhenUsed/>
    <w:rsid w:val="00055B94"/>
    <w:rPr>
      <w:sz w:val="16"/>
      <w:szCs w:val="16"/>
    </w:rPr>
  </w:style>
  <w:style w:type="paragraph" w:styleId="CommentText">
    <w:name w:val="annotation text"/>
    <w:basedOn w:val="Normal"/>
    <w:link w:val="CommentTextChar"/>
    <w:uiPriority w:val="99"/>
    <w:unhideWhenUsed/>
    <w:rsid w:val="00055B94"/>
    <w:rPr>
      <w:sz w:val="20"/>
      <w:szCs w:val="20"/>
    </w:rPr>
  </w:style>
  <w:style w:type="character" w:customStyle="1" w:styleId="CommentTextChar">
    <w:name w:val="Comment Text Char"/>
    <w:basedOn w:val="DefaultParagraphFont"/>
    <w:link w:val="CommentText"/>
    <w:uiPriority w:val="99"/>
    <w:rsid w:val="00055B94"/>
    <w:rPr>
      <w:sz w:val="20"/>
      <w:szCs w:val="20"/>
    </w:rPr>
  </w:style>
  <w:style w:type="paragraph" w:styleId="CommentSubject">
    <w:name w:val="annotation subject"/>
    <w:basedOn w:val="CommentText"/>
    <w:next w:val="CommentText"/>
    <w:link w:val="CommentSubjectChar"/>
    <w:uiPriority w:val="99"/>
    <w:semiHidden/>
    <w:unhideWhenUsed/>
    <w:rsid w:val="00055B94"/>
    <w:rPr>
      <w:b/>
      <w:bCs/>
    </w:rPr>
  </w:style>
  <w:style w:type="character" w:customStyle="1" w:styleId="CommentSubjectChar">
    <w:name w:val="Comment Subject Char"/>
    <w:basedOn w:val="CommentTextChar"/>
    <w:link w:val="CommentSubject"/>
    <w:uiPriority w:val="99"/>
    <w:semiHidden/>
    <w:rsid w:val="00055B94"/>
    <w:rPr>
      <w:b/>
      <w:bCs/>
      <w:sz w:val="20"/>
      <w:szCs w:val="20"/>
    </w:rPr>
  </w:style>
  <w:style w:type="paragraph" w:styleId="BalloonText">
    <w:name w:val="Balloon Text"/>
    <w:basedOn w:val="Normal"/>
    <w:link w:val="BalloonTextChar"/>
    <w:uiPriority w:val="99"/>
    <w:semiHidden/>
    <w:unhideWhenUsed/>
    <w:rsid w:val="0005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94"/>
    <w:rPr>
      <w:rFonts w:ascii="Segoe UI" w:hAnsi="Segoe UI" w:cs="Segoe UI"/>
      <w:sz w:val="18"/>
      <w:szCs w:val="18"/>
    </w:rPr>
  </w:style>
  <w:style w:type="paragraph" w:styleId="FootnoteText">
    <w:name w:val="footnote text"/>
    <w:basedOn w:val="Normal"/>
    <w:link w:val="FootnoteTextChar"/>
    <w:uiPriority w:val="99"/>
    <w:semiHidden/>
    <w:unhideWhenUsed/>
    <w:rsid w:val="00055B94"/>
    <w:rPr>
      <w:sz w:val="20"/>
      <w:szCs w:val="20"/>
    </w:rPr>
  </w:style>
  <w:style w:type="character" w:customStyle="1" w:styleId="FootnoteTextChar">
    <w:name w:val="Footnote Text Char"/>
    <w:basedOn w:val="DefaultParagraphFont"/>
    <w:link w:val="FootnoteText"/>
    <w:uiPriority w:val="99"/>
    <w:semiHidden/>
    <w:rsid w:val="00055B94"/>
    <w:rPr>
      <w:sz w:val="20"/>
      <w:szCs w:val="20"/>
    </w:rPr>
  </w:style>
  <w:style w:type="character" w:styleId="FootnoteReference">
    <w:name w:val="footnote reference"/>
    <w:basedOn w:val="DefaultParagraphFont"/>
    <w:uiPriority w:val="99"/>
    <w:semiHidden/>
    <w:unhideWhenUsed/>
    <w:rsid w:val="00055B94"/>
    <w:rPr>
      <w:vertAlign w:val="superscript"/>
    </w:rPr>
  </w:style>
  <w:style w:type="character" w:styleId="FollowedHyperlink">
    <w:name w:val="FollowedHyperlink"/>
    <w:basedOn w:val="DefaultParagraphFont"/>
    <w:uiPriority w:val="99"/>
    <w:semiHidden/>
    <w:unhideWhenUsed/>
    <w:rsid w:val="00055B94"/>
    <w:rPr>
      <w:color w:val="800080" w:themeColor="followedHyperlink"/>
      <w:u w:val="single"/>
    </w:rPr>
  </w:style>
  <w:style w:type="paragraph" w:styleId="NormalWeb">
    <w:name w:val="Normal (Web)"/>
    <w:basedOn w:val="Normal"/>
    <w:uiPriority w:val="99"/>
    <w:semiHidden/>
    <w:unhideWhenUsed/>
    <w:rsid w:val="00055B94"/>
    <w:pPr>
      <w:spacing w:before="100" w:beforeAutospacing="1" w:after="100" w:afterAutospacing="1"/>
    </w:pPr>
    <w:rPr>
      <w:rFonts w:ascii="Times New Roman" w:eastAsia="Times New Roman" w:hAnsi="Times New Roman" w:cs="Times New Roman"/>
      <w:sz w:val="24"/>
      <w:lang w:eastAsia="en-GB"/>
    </w:rPr>
  </w:style>
  <w:style w:type="paragraph" w:customStyle="1" w:styleId="EndNoteBibliographyTitle">
    <w:name w:val="EndNote Bibliography Title"/>
    <w:basedOn w:val="Normal"/>
    <w:link w:val="EndNoteBibliographyTitleChar"/>
    <w:rsid w:val="00055B94"/>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55B94"/>
    <w:rPr>
      <w:rFonts w:ascii="Calibri" w:hAnsi="Calibri"/>
      <w:noProof/>
      <w:szCs w:val="24"/>
      <w:lang w:val="en-US"/>
    </w:rPr>
  </w:style>
  <w:style w:type="paragraph" w:customStyle="1" w:styleId="EndNoteBibliography">
    <w:name w:val="EndNote Bibliography"/>
    <w:basedOn w:val="Normal"/>
    <w:link w:val="EndNoteBibliographyChar"/>
    <w:rsid w:val="00055B9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55B94"/>
    <w:rPr>
      <w:rFonts w:ascii="Calibri" w:hAnsi="Calibri"/>
      <w:noProof/>
      <w:szCs w:val="24"/>
      <w:lang w:val="en-US"/>
    </w:rPr>
  </w:style>
  <w:style w:type="paragraph" w:styleId="Header">
    <w:name w:val="header"/>
    <w:basedOn w:val="Normal"/>
    <w:link w:val="HeaderChar"/>
    <w:uiPriority w:val="99"/>
    <w:unhideWhenUsed/>
    <w:rsid w:val="00055B94"/>
    <w:pPr>
      <w:tabs>
        <w:tab w:val="center" w:pos="4513"/>
        <w:tab w:val="right" w:pos="9026"/>
      </w:tabs>
      <w:spacing w:line="240" w:lineRule="auto"/>
    </w:pPr>
  </w:style>
  <w:style w:type="character" w:customStyle="1" w:styleId="HeaderChar">
    <w:name w:val="Header Char"/>
    <w:basedOn w:val="DefaultParagraphFont"/>
    <w:link w:val="Header"/>
    <w:uiPriority w:val="99"/>
    <w:rsid w:val="00055B94"/>
    <w:rPr>
      <w:szCs w:val="24"/>
    </w:rPr>
  </w:style>
  <w:style w:type="paragraph" w:styleId="Footer">
    <w:name w:val="footer"/>
    <w:basedOn w:val="Normal"/>
    <w:link w:val="FooterChar"/>
    <w:uiPriority w:val="99"/>
    <w:unhideWhenUsed/>
    <w:rsid w:val="00055B94"/>
    <w:pPr>
      <w:tabs>
        <w:tab w:val="center" w:pos="4513"/>
        <w:tab w:val="right" w:pos="9026"/>
      </w:tabs>
      <w:spacing w:line="240" w:lineRule="auto"/>
    </w:pPr>
  </w:style>
  <w:style w:type="character" w:customStyle="1" w:styleId="FooterChar">
    <w:name w:val="Footer Char"/>
    <w:basedOn w:val="DefaultParagraphFont"/>
    <w:link w:val="Footer"/>
    <w:uiPriority w:val="99"/>
    <w:rsid w:val="00055B94"/>
    <w:rPr>
      <w:szCs w:val="24"/>
    </w:rPr>
  </w:style>
  <w:style w:type="paragraph" w:styleId="EndnoteText">
    <w:name w:val="endnote text"/>
    <w:basedOn w:val="Normal"/>
    <w:link w:val="EndnoteTextChar"/>
    <w:uiPriority w:val="99"/>
    <w:semiHidden/>
    <w:unhideWhenUsed/>
    <w:rsid w:val="00055B94"/>
    <w:pPr>
      <w:spacing w:line="240" w:lineRule="auto"/>
    </w:pPr>
    <w:rPr>
      <w:sz w:val="20"/>
      <w:szCs w:val="20"/>
    </w:rPr>
  </w:style>
  <w:style w:type="character" w:customStyle="1" w:styleId="EndnoteTextChar">
    <w:name w:val="Endnote Text Char"/>
    <w:basedOn w:val="DefaultParagraphFont"/>
    <w:link w:val="EndnoteText"/>
    <w:uiPriority w:val="99"/>
    <w:semiHidden/>
    <w:rsid w:val="00055B94"/>
    <w:rPr>
      <w:sz w:val="20"/>
      <w:szCs w:val="20"/>
    </w:rPr>
  </w:style>
  <w:style w:type="character" w:styleId="EndnoteReference">
    <w:name w:val="endnote reference"/>
    <w:basedOn w:val="DefaultParagraphFont"/>
    <w:uiPriority w:val="99"/>
    <w:semiHidden/>
    <w:unhideWhenUsed/>
    <w:rsid w:val="00055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spol.1234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nbgeig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opeansocialsurvey.org/" TargetMode="External"/><Relationship Id="rId5" Type="http://schemas.openxmlformats.org/officeDocument/2006/relationships/webSettings" Target="webSettings.xml"/><Relationship Id="rId10" Type="http://schemas.openxmlformats.org/officeDocument/2006/relationships/hyperlink" Target="http://fullfact.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8552</Words>
  <Characters>48747</Characters>
  <Application>Microsoft Office Word</Application>
  <DocSecurity>0</DocSecurity>
  <Lines>406</Lines>
  <Paragraphs>114</Paragraphs>
  <ScaleCrop>false</ScaleCrop>
  <Company>University of Kent</Company>
  <LinksUpToDate>false</LinksUpToDate>
  <CharactersWithSpaces>57185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3</cp:revision>
  <dcterms:created xsi:type="dcterms:W3CDTF">2017-07-11T15:17:00Z</dcterms:created>
  <dcterms:modified xsi:type="dcterms:W3CDTF">2017-09-26T09:48:00Z</dcterms:modified>
</cp:coreProperties>
</file>