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80185A" w14:textId="77777777" w:rsidR="006F5734" w:rsidRDefault="00E40388" w:rsidP="00E40388">
      <w:pPr>
        <w:pStyle w:val="Heading1"/>
      </w:pPr>
      <w:bookmarkStart w:id="0" w:name="_GoBack"/>
      <w:bookmarkEnd w:id="0"/>
      <w:r>
        <w:t>Web Appendices</w:t>
      </w:r>
    </w:p>
    <w:p w14:paraId="5E15663A" w14:textId="77777777" w:rsidR="00D72F89" w:rsidRDefault="003E7A11">
      <w:pPr>
        <w:pStyle w:val="TOC1"/>
        <w:tabs>
          <w:tab w:val="left" w:pos="1760"/>
          <w:tab w:val="right" w:leader="dot" w:pos="9016"/>
        </w:tabs>
        <w:rPr>
          <w:rFonts w:eastAsiaTheme="minorEastAsia"/>
          <w:noProof/>
          <w:szCs w:val="22"/>
          <w:lang w:eastAsia="en-GB"/>
        </w:rPr>
      </w:pPr>
      <w:r>
        <w:fldChar w:fldCharType="begin"/>
      </w:r>
      <w:r>
        <w:instrText xml:space="preserve"> TOC \h \z \u \t "Heading 2,1" </w:instrText>
      </w:r>
      <w:r>
        <w:fldChar w:fldCharType="separate"/>
      </w:r>
      <w:hyperlink w:anchor="_Toc429734540" w:history="1">
        <w:r w:rsidR="00D72F89" w:rsidRPr="00210788">
          <w:rPr>
            <w:rStyle w:val="Hyperlink"/>
            <w:noProof/>
          </w:rPr>
          <w:t>Web Appendix 1</w:t>
        </w:r>
        <w:r w:rsidR="00D72F89">
          <w:rPr>
            <w:rFonts w:eastAsiaTheme="minorEastAsia"/>
            <w:noProof/>
            <w:szCs w:val="22"/>
            <w:lang w:eastAsia="en-GB"/>
          </w:rPr>
          <w:tab/>
        </w:r>
        <w:r w:rsidR="00D72F89" w:rsidRPr="00210788">
          <w:rPr>
            <w:rStyle w:val="Hyperlink"/>
            <w:noProof/>
          </w:rPr>
          <w:t>Details of the surveys</w:t>
        </w:r>
        <w:r w:rsidR="00D72F89">
          <w:rPr>
            <w:noProof/>
            <w:webHidden/>
          </w:rPr>
          <w:tab/>
        </w:r>
        <w:r w:rsidR="00D72F89">
          <w:rPr>
            <w:noProof/>
            <w:webHidden/>
          </w:rPr>
          <w:fldChar w:fldCharType="begin"/>
        </w:r>
        <w:r w:rsidR="00D72F89">
          <w:rPr>
            <w:noProof/>
            <w:webHidden/>
          </w:rPr>
          <w:instrText xml:space="preserve"> PAGEREF _Toc429734540 \h </w:instrText>
        </w:r>
        <w:r w:rsidR="00D72F89">
          <w:rPr>
            <w:noProof/>
            <w:webHidden/>
          </w:rPr>
        </w:r>
        <w:r w:rsidR="00D72F89">
          <w:rPr>
            <w:noProof/>
            <w:webHidden/>
          </w:rPr>
          <w:fldChar w:fldCharType="separate"/>
        </w:r>
        <w:r w:rsidR="00D72F89">
          <w:rPr>
            <w:noProof/>
            <w:webHidden/>
          </w:rPr>
          <w:t>2</w:t>
        </w:r>
        <w:r w:rsidR="00D72F89">
          <w:rPr>
            <w:noProof/>
            <w:webHidden/>
          </w:rPr>
          <w:fldChar w:fldCharType="end"/>
        </w:r>
      </w:hyperlink>
    </w:p>
    <w:p w14:paraId="75FFB54E" w14:textId="77777777" w:rsidR="00D72F89" w:rsidRDefault="00797102">
      <w:pPr>
        <w:pStyle w:val="TOC1"/>
        <w:tabs>
          <w:tab w:val="left" w:pos="1760"/>
          <w:tab w:val="right" w:leader="dot" w:pos="9016"/>
        </w:tabs>
        <w:rPr>
          <w:rFonts w:eastAsiaTheme="minorEastAsia"/>
          <w:noProof/>
          <w:szCs w:val="22"/>
          <w:lang w:eastAsia="en-GB"/>
        </w:rPr>
      </w:pPr>
      <w:hyperlink w:anchor="_Toc429734541" w:history="1">
        <w:r w:rsidR="00D72F89" w:rsidRPr="00210788">
          <w:rPr>
            <w:rStyle w:val="Hyperlink"/>
            <w:noProof/>
          </w:rPr>
          <w:t>Web Appendix 2</w:t>
        </w:r>
        <w:r w:rsidR="00D72F89">
          <w:rPr>
            <w:rFonts w:eastAsiaTheme="minorEastAsia"/>
            <w:noProof/>
            <w:szCs w:val="22"/>
            <w:lang w:eastAsia="en-GB"/>
          </w:rPr>
          <w:tab/>
        </w:r>
        <w:r w:rsidR="00D72F89" w:rsidRPr="00210788">
          <w:rPr>
            <w:rStyle w:val="Hyperlink"/>
            <w:noProof/>
          </w:rPr>
          <w:t>Descriptive statistics</w:t>
        </w:r>
        <w:r w:rsidR="00D72F89">
          <w:rPr>
            <w:noProof/>
            <w:webHidden/>
          </w:rPr>
          <w:tab/>
        </w:r>
        <w:r w:rsidR="00D72F89">
          <w:rPr>
            <w:noProof/>
            <w:webHidden/>
          </w:rPr>
          <w:fldChar w:fldCharType="begin"/>
        </w:r>
        <w:r w:rsidR="00D72F89">
          <w:rPr>
            <w:noProof/>
            <w:webHidden/>
          </w:rPr>
          <w:instrText xml:space="preserve"> PAGEREF _Toc429734541 \h </w:instrText>
        </w:r>
        <w:r w:rsidR="00D72F89">
          <w:rPr>
            <w:noProof/>
            <w:webHidden/>
          </w:rPr>
        </w:r>
        <w:r w:rsidR="00D72F89">
          <w:rPr>
            <w:noProof/>
            <w:webHidden/>
          </w:rPr>
          <w:fldChar w:fldCharType="separate"/>
        </w:r>
        <w:r w:rsidR="00D72F89">
          <w:rPr>
            <w:noProof/>
            <w:webHidden/>
          </w:rPr>
          <w:t>4</w:t>
        </w:r>
        <w:r w:rsidR="00D72F89">
          <w:rPr>
            <w:noProof/>
            <w:webHidden/>
          </w:rPr>
          <w:fldChar w:fldCharType="end"/>
        </w:r>
      </w:hyperlink>
    </w:p>
    <w:p w14:paraId="6DDB634D" w14:textId="77777777" w:rsidR="00D72F89" w:rsidRDefault="00797102">
      <w:pPr>
        <w:pStyle w:val="TOC1"/>
        <w:tabs>
          <w:tab w:val="left" w:pos="1760"/>
          <w:tab w:val="right" w:leader="dot" w:pos="9016"/>
        </w:tabs>
        <w:rPr>
          <w:rFonts w:eastAsiaTheme="minorEastAsia"/>
          <w:noProof/>
          <w:szCs w:val="22"/>
          <w:lang w:eastAsia="en-GB"/>
        </w:rPr>
      </w:pPr>
      <w:hyperlink w:anchor="_Toc429734542" w:history="1">
        <w:r w:rsidR="00D72F89" w:rsidRPr="00210788">
          <w:rPr>
            <w:rStyle w:val="Hyperlink"/>
            <w:noProof/>
          </w:rPr>
          <w:t>Web Appendix 3</w:t>
        </w:r>
        <w:r w:rsidR="00D72F89">
          <w:rPr>
            <w:rFonts w:eastAsiaTheme="minorEastAsia"/>
            <w:noProof/>
            <w:szCs w:val="22"/>
            <w:lang w:eastAsia="en-GB"/>
          </w:rPr>
          <w:tab/>
        </w:r>
        <w:r w:rsidR="00D72F89" w:rsidRPr="00210788">
          <w:rPr>
            <w:rStyle w:val="Hyperlink"/>
            <w:noProof/>
          </w:rPr>
          <w:t>Benefit belief question wording</w:t>
        </w:r>
        <w:r w:rsidR="00D72F89">
          <w:rPr>
            <w:noProof/>
            <w:webHidden/>
          </w:rPr>
          <w:tab/>
        </w:r>
        <w:r w:rsidR="00D72F89">
          <w:rPr>
            <w:noProof/>
            <w:webHidden/>
          </w:rPr>
          <w:fldChar w:fldCharType="begin"/>
        </w:r>
        <w:r w:rsidR="00D72F89">
          <w:rPr>
            <w:noProof/>
            <w:webHidden/>
          </w:rPr>
          <w:instrText xml:space="preserve"> PAGEREF _Toc429734542 \h </w:instrText>
        </w:r>
        <w:r w:rsidR="00D72F89">
          <w:rPr>
            <w:noProof/>
            <w:webHidden/>
          </w:rPr>
        </w:r>
        <w:r w:rsidR="00D72F89">
          <w:rPr>
            <w:noProof/>
            <w:webHidden/>
          </w:rPr>
          <w:fldChar w:fldCharType="separate"/>
        </w:r>
        <w:r w:rsidR="00D72F89">
          <w:rPr>
            <w:noProof/>
            <w:webHidden/>
          </w:rPr>
          <w:t>5</w:t>
        </w:r>
        <w:r w:rsidR="00D72F89">
          <w:rPr>
            <w:noProof/>
            <w:webHidden/>
          </w:rPr>
          <w:fldChar w:fldCharType="end"/>
        </w:r>
      </w:hyperlink>
    </w:p>
    <w:p w14:paraId="147D6574" w14:textId="77777777" w:rsidR="00D72F89" w:rsidRDefault="00797102">
      <w:pPr>
        <w:pStyle w:val="TOC1"/>
        <w:tabs>
          <w:tab w:val="left" w:pos="1760"/>
          <w:tab w:val="right" w:leader="dot" w:pos="9016"/>
        </w:tabs>
        <w:rPr>
          <w:rFonts w:eastAsiaTheme="minorEastAsia"/>
          <w:noProof/>
          <w:szCs w:val="22"/>
          <w:lang w:eastAsia="en-GB"/>
        </w:rPr>
      </w:pPr>
      <w:hyperlink w:anchor="_Toc429734543" w:history="1">
        <w:r w:rsidR="00D72F89" w:rsidRPr="00210788">
          <w:rPr>
            <w:rStyle w:val="Hyperlink"/>
            <w:noProof/>
          </w:rPr>
          <w:t>Web Appendix 4</w:t>
        </w:r>
        <w:r w:rsidR="00D72F89">
          <w:rPr>
            <w:rFonts w:eastAsiaTheme="minorEastAsia"/>
            <w:noProof/>
            <w:szCs w:val="22"/>
            <w:lang w:eastAsia="en-GB"/>
          </w:rPr>
          <w:tab/>
        </w:r>
        <w:r w:rsidR="00D72F89" w:rsidRPr="00210788">
          <w:rPr>
            <w:rStyle w:val="Hyperlink"/>
            <w:noProof/>
          </w:rPr>
          <w:t>True values (and their associated uncertainty)</w:t>
        </w:r>
        <w:r w:rsidR="00D72F89">
          <w:rPr>
            <w:noProof/>
            <w:webHidden/>
          </w:rPr>
          <w:tab/>
        </w:r>
        <w:r w:rsidR="00D72F89">
          <w:rPr>
            <w:noProof/>
            <w:webHidden/>
          </w:rPr>
          <w:fldChar w:fldCharType="begin"/>
        </w:r>
        <w:r w:rsidR="00D72F89">
          <w:rPr>
            <w:noProof/>
            <w:webHidden/>
          </w:rPr>
          <w:instrText xml:space="preserve"> PAGEREF _Toc429734543 \h </w:instrText>
        </w:r>
        <w:r w:rsidR="00D72F89">
          <w:rPr>
            <w:noProof/>
            <w:webHidden/>
          </w:rPr>
        </w:r>
        <w:r w:rsidR="00D72F89">
          <w:rPr>
            <w:noProof/>
            <w:webHidden/>
          </w:rPr>
          <w:fldChar w:fldCharType="separate"/>
        </w:r>
        <w:r w:rsidR="00D72F89">
          <w:rPr>
            <w:noProof/>
            <w:webHidden/>
          </w:rPr>
          <w:t>11</w:t>
        </w:r>
        <w:r w:rsidR="00D72F89">
          <w:rPr>
            <w:noProof/>
            <w:webHidden/>
          </w:rPr>
          <w:fldChar w:fldCharType="end"/>
        </w:r>
      </w:hyperlink>
    </w:p>
    <w:p w14:paraId="44332ADB" w14:textId="7D735FFE" w:rsidR="00E40388" w:rsidRDefault="003E7A11" w:rsidP="00E40388">
      <w:r>
        <w:fldChar w:fldCharType="end"/>
      </w:r>
    </w:p>
    <w:p w14:paraId="79FFFE8E" w14:textId="77777777" w:rsidR="00E40388" w:rsidRDefault="00E40388" w:rsidP="00E40388">
      <w:pPr>
        <w:sectPr w:rsidR="00E40388">
          <w:pgSz w:w="11906" w:h="16838"/>
          <w:pgMar w:top="1440" w:right="1440" w:bottom="1440" w:left="1440" w:header="708" w:footer="708" w:gutter="0"/>
          <w:cols w:space="708"/>
          <w:docGrid w:linePitch="360"/>
        </w:sectPr>
      </w:pPr>
    </w:p>
    <w:p w14:paraId="6CD5761C" w14:textId="77777777" w:rsidR="00491BA1" w:rsidRDefault="00491BA1" w:rsidP="00491BA1">
      <w:pPr>
        <w:pStyle w:val="Heading2"/>
      </w:pPr>
      <w:bookmarkStart w:id="1" w:name="_Toc429734540"/>
      <w:r>
        <w:lastRenderedPageBreak/>
        <w:t>Details of the surveys</w:t>
      </w:r>
      <w:bookmarkEnd w:id="1"/>
    </w:p>
    <w:p w14:paraId="4FDDC01B" w14:textId="4AA26A63" w:rsidR="00861627" w:rsidRDefault="00861627" w:rsidP="00861627">
      <w:r>
        <w:t>The details of the sampling, field period and access for each of the surveys are as follows</w:t>
      </w:r>
      <w:r w:rsidR="00887CF3">
        <w:t xml:space="preserve"> (sample sizes vary by question and are included in the main paper)</w:t>
      </w:r>
      <w:r>
        <w:t>:</w:t>
      </w:r>
    </w:p>
    <w:p w14:paraId="5BD972F3" w14:textId="251AC2E3" w:rsidR="00861627" w:rsidRDefault="00861627" w:rsidP="00861627">
      <w:r>
        <w:rPr>
          <w:b/>
        </w:rPr>
        <w:t>British Social Attitudes (BSA)</w:t>
      </w:r>
      <w:r>
        <w:t xml:space="preserve"> – BSA is </w:t>
      </w:r>
      <w:r w:rsidR="00887CF3">
        <w:t>run by the National Centre for Social Research (</w:t>
      </w:r>
      <w:proofErr w:type="spellStart"/>
      <w:r w:rsidR="00887CF3">
        <w:t>NatCen</w:t>
      </w:r>
      <w:proofErr w:type="spellEnd"/>
      <w:r w:rsidR="00887CF3">
        <w:t>), and</w:t>
      </w:r>
      <w:r w:rsidR="003C25F5">
        <w:t xml:space="preserve"> </w:t>
      </w:r>
      <w:r w:rsidR="00887CF3">
        <w:t xml:space="preserve">is </w:t>
      </w:r>
      <w:r>
        <w:t xml:space="preserve">one of the most widely-used and highly-respected survey series in Britain.  We obtained </w:t>
      </w:r>
      <w:r w:rsidR="00887CF3">
        <w:t xml:space="preserve">the data via </w:t>
      </w:r>
      <w:r>
        <w:t>the UK Data Service (Study Numbers 3572, 3764, 4486, 4615, 5329, 5618, 6390, and 7500 for 1994, 1995, 2000, 2001, 2004, 2005, 2007, 2008 and 2013 respectively)</w:t>
      </w:r>
      <w:r w:rsidR="00887CF3">
        <w:t>; for full details of the funders in each year, see the UK Data Service</w:t>
      </w:r>
      <w:r>
        <w:t xml:space="preserve">.  </w:t>
      </w:r>
      <w:r w:rsidR="00887CF3">
        <w:t xml:space="preserve">In all years, the survey uses a multi-stage random sample of adults aged 18+ from the Postcode Address File (excluding those living north of the Caledonian Canal).  </w:t>
      </w:r>
      <w:r w:rsidR="00C35922">
        <w:t xml:space="preserve">Since 2000, the main fieldwork period has been June-September (with a smaller number of interviews in October &amp; November), although it was earlier in the year in 1994 &amp; 1995.  </w:t>
      </w:r>
      <w:r w:rsidR="00061A14">
        <w:t xml:space="preserve">Like most survey series, response rates have declined over time, from 65-69% in 1994/5 to 53-56% 2005-2013, although the response rate throughout is relatively high for general population attitudes surveys.  </w:t>
      </w:r>
      <w:r w:rsidR="00887CF3">
        <w:t xml:space="preserve">We use weights supplied by </w:t>
      </w:r>
      <w:proofErr w:type="spellStart"/>
      <w:r w:rsidR="00887CF3">
        <w:t>NatCen</w:t>
      </w:r>
      <w:proofErr w:type="spellEnd"/>
      <w:r w:rsidR="00887CF3">
        <w:t xml:space="preserve"> to correct for both unequal probabilities of selection and for non-response.  While BSA includes a self-completion survey, the questions we use are all within the main face-to-face survey.</w:t>
      </w:r>
      <w:r w:rsidR="00D76FF6">
        <w:t xml:space="preserve">  While the topics covered in BSA vary by year, the surveys are not focused on benefits, and instead cover a wide range of political and social attitudes.</w:t>
      </w:r>
    </w:p>
    <w:p w14:paraId="03B1B755" w14:textId="546E19A9" w:rsidR="00861627" w:rsidRDefault="00861627" w:rsidP="00861627">
      <w:r>
        <w:rPr>
          <w:b/>
        </w:rPr>
        <w:t>European Social Survey (ESS)</w:t>
      </w:r>
      <w:r>
        <w:t xml:space="preserve"> – ESS </w:t>
      </w:r>
      <w:r w:rsidR="00C35922">
        <w:t xml:space="preserve">is </w:t>
      </w:r>
      <w:r w:rsidR="00110817">
        <w:t xml:space="preserve">a </w:t>
      </w:r>
      <w:r w:rsidR="00C35922">
        <w:t xml:space="preserve">highly-respected international comparative survey, but in this paper we focus solely on the British sample for 2008, which is publicly available via </w:t>
      </w:r>
      <w:hyperlink r:id="rId9" w:history="1">
        <w:r w:rsidR="00C35922" w:rsidRPr="001C0A46">
          <w:rPr>
            <w:rStyle w:val="Hyperlink"/>
          </w:rPr>
          <w:t>http://www.europeansocialsurvey.org/data/</w:t>
        </w:r>
      </w:hyperlink>
      <w:r w:rsidR="00C35922">
        <w:t xml:space="preserve">.  In Great Britain ESS is also run by </w:t>
      </w:r>
      <w:proofErr w:type="spellStart"/>
      <w:r w:rsidR="00C35922">
        <w:t>NatCen</w:t>
      </w:r>
      <w:proofErr w:type="spellEnd"/>
      <w:r w:rsidR="00C35922">
        <w:t xml:space="preserve"> (the Northern Ireland sample is run by NISRA) using a similar design to BSA; that is, it is a face-to-face survey using a multi-stage random sample from the Postcode Address File.  The fieldwork period was Sep 2008 to January 2009.  The response rate was 56%, and we use the weights provided to correct for both unequal probabilities of selection and for non-response.  </w:t>
      </w:r>
      <w:r w:rsidR="00D76FF6">
        <w:t>One of the main topics covered by ESS in 2008 was attitudes to the welfare state, which came after core modules on the media, social trust, politics, subjective wellbeing, and identity.</w:t>
      </w:r>
    </w:p>
    <w:p w14:paraId="2578169E" w14:textId="48746A76" w:rsidR="00F47A06" w:rsidRPr="00491BA1" w:rsidRDefault="00F47A06" w:rsidP="00F47A06">
      <w:r>
        <w:rPr>
          <w:b/>
        </w:rPr>
        <w:t>Eurobarometer (EB)</w:t>
      </w:r>
      <w:r>
        <w:t xml:space="preserve"> – EB is the opinion survey used by the European institutions for general monitoring of attitudes across the EU, primarily those towards the European institutions themselves, but also a number of other topics varying by wave.  We use the British samples from EB 67.2 (publicly available from </w:t>
      </w:r>
      <w:proofErr w:type="spellStart"/>
      <w:r>
        <w:t>Gesis</w:t>
      </w:r>
      <w:proofErr w:type="spellEnd"/>
      <w:r>
        <w:t>, code ZA4530) and EB 72.1 (</w:t>
      </w:r>
      <w:proofErr w:type="spellStart"/>
      <w:r>
        <w:t>Gesis</w:t>
      </w:r>
      <w:proofErr w:type="spellEnd"/>
      <w:r>
        <w:t xml:space="preserve"> code ZA4975).  These are face-to-face surveys conducted by TNS UK in April-May 2007 and Aug-Sep 2009 using a random route process (that is, a starting address was randomly selected using a multi-stage design, and interviewers were asked to interview people at every Nth address).  While technically this should produce a random sample, response rates for random route surveys are not typically available, and (because of the discretion awarded to the interviewer, and the lack of follow-up calls) the sample is generally considered to be closer to a quota sample.  We use the weights supplied by TNS in our analyses, based on gender, age, region and size of locality.</w:t>
      </w:r>
      <w:r w:rsidR="00D76FF6">
        <w:t xml:space="preserve">  While the few questions being used here focus on knowledge of economic indicators, the surveys to that point had covered a wide variety of topics, including (in 2009) poverty, social exclusion, the welfare state, and climate change, and (in 2007) comparisons in quality of life between countries, attitudes to the EU and data protection.</w:t>
      </w:r>
    </w:p>
    <w:p w14:paraId="7832A3E0" w14:textId="474BF6D7" w:rsidR="00486920" w:rsidRDefault="00861627" w:rsidP="00486920">
      <w:proofErr w:type="spellStart"/>
      <w:r>
        <w:rPr>
          <w:b/>
        </w:rPr>
        <w:t>Ipsos</w:t>
      </w:r>
      <w:proofErr w:type="spellEnd"/>
      <w:r>
        <w:rPr>
          <w:b/>
        </w:rPr>
        <w:t xml:space="preserve"> MORI face-to-face survey 2012</w:t>
      </w:r>
      <w:r>
        <w:t xml:space="preserve"> – </w:t>
      </w:r>
      <w:r w:rsidR="00486920">
        <w:t xml:space="preserve">this survey was commissioned </w:t>
      </w:r>
      <w:r w:rsidR="00141EA8">
        <w:t>in a project involving the present author</w:t>
      </w:r>
      <w:r w:rsidR="0041636F">
        <w:t xml:space="preserve"> (</w:t>
      </w:r>
      <w:r w:rsidR="0041636F" w:rsidRPr="0041636F">
        <w:rPr>
          <w:highlight w:val="yellow"/>
        </w:rPr>
        <w:t>AUTHOR REMOVED FOR ANONYMITY</w:t>
      </w:r>
      <w:r w:rsidR="0041636F">
        <w:t>)</w:t>
      </w:r>
      <w:r w:rsidR="00141EA8">
        <w:t xml:space="preserve">. The survey was the </w:t>
      </w:r>
      <w:proofErr w:type="spellStart"/>
      <w:r w:rsidR="00486920" w:rsidRPr="00590835">
        <w:t>IpsosMORI</w:t>
      </w:r>
      <w:proofErr w:type="spellEnd"/>
      <w:r w:rsidR="00486920" w:rsidRPr="00590835">
        <w:t xml:space="preserve"> </w:t>
      </w:r>
      <w:r w:rsidR="00141EA8">
        <w:t>‘</w:t>
      </w:r>
      <w:proofErr w:type="spellStart"/>
      <w:r w:rsidR="00141EA8">
        <w:t>Capibus</w:t>
      </w:r>
      <w:proofErr w:type="spellEnd"/>
      <w:r w:rsidR="00141EA8">
        <w:t xml:space="preserve">’ survey, which is a </w:t>
      </w:r>
      <w:r w:rsidR="00486920">
        <w:t xml:space="preserve">face-to-face omnibus survey, using </w:t>
      </w:r>
      <w:r w:rsidR="00486920" w:rsidRPr="00590835">
        <w:t xml:space="preserve">quota sampling: Primary Sampling Units </w:t>
      </w:r>
      <w:r w:rsidR="00486920">
        <w:t xml:space="preserve">were </w:t>
      </w:r>
      <w:r w:rsidR="00486920" w:rsidRPr="00590835">
        <w:t>randomly selected within relatively homogeneous ACORN area types, and interviewers then ha</w:t>
      </w:r>
      <w:r w:rsidR="00486920">
        <w:t>d</w:t>
      </w:r>
      <w:r w:rsidR="00486920" w:rsidRPr="00590835">
        <w:t xml:space="preserve"> to meet a quota by age, gender and working status within these streets.  </w:t>
      </w:r>
      <w:r w:rsidR="00141EA8">
        <w:t xml:space="preserve">We use the weights supplied by </w:t>
      </w:r>
      <w:proofErr w:type="spellStart"/>
      <w:r w:rsidR="00141EA8">
        <w:t>Ipsos</w:t>
      </w:r>
      <w:proofErr w:type="spellEnd"/>
      <w:r w:rsidR="00141EA8">
        <w:t xml:space="preserve"> MORI that weight for non-response according to </w:t>
      </w:r>
      <w:r w:rsidR="00486920" w:rsidRPr="00590835">
        <w:t>age, social grade, region and working status (within gender).</w:t>
      </w:r>
      <w:r w:rsidR="00486920">
        <w:t xml:space="preserve"> </w:t>
      </w:r>
      <w:r w:rsidR="00141EA8">
        <w:t xml:space="preserve"> We added a ‘claimant boost’ from </w:t>
      </w:r>
      <w:r w:rsidR="00141EA8" w:rsidRPr="00590835">
        <w:t xml:space="preserve">two further </w:t>
      </w:r>
      <w:r w:rsidR="00141EA8">
        <w:t>waves; the total samp</w:t>
      </w:r>
      <w:r w:rsidR="00E603EA">
        <w:t xml:space="preserve">le was 2,601, of </w:t>
      </w:r>
      <w:proofErr w:type="gramStart"/>
      <w:r w:rsidR="00E603EA">
        <w:t>whom</w:t>
      </w:r>
      <w:proofErr w:type="gramEnd"/>
      <w:r w:rsidR="00E603EA">
        <w:t xml:space="preserve"> 1,123 had</w:t>
      </w:r>
      <w:r w:rsidR="00141EA8">
        <w:t xml:space="preserve"> claimed benefits/tax credits in the past year (results are reweighted to </w:t>
      </w:r>
      <w:r w:rsidR="00141EA8">
        <w:lastRenderedPageBreak/>
        <w:t>maintain representativeness)</w:t>
      </w:r>
      <w:r w:rsidR="00141EA8" w:rsidRPr="00590835">
        <w:t xml:space="preserve">.  </w:t>
      </w:r>
      <w:r w:rsidR="00141EA8">
        <w:t xml:space="preserve">The survey was undertaken in May 2012.  </w:t>
      </w:r>
      <w:r w:rsidR="001F276B">
        <w:t>The question on perceived benefit fraud used in the main paper was part of a bank of questions about benefits stigma; in a random half of the cases the question came at the start of the section, and in half the cases it came at the end.</w:t>
      </w:r>
    </w:p>
    <w:p w14:paraId="5F42DA41" w14:textId="77777777" w:rsidR="00110817" w:rsidRDefault="00861627" w:rsidP="00C35922">
      <w:r>
        <w:rPr>
          <w:b/>
        </w:rPr>
        <w:t>YouGov online panels</w:t>
      </w:r>
      <w:r>
        <w:t xml:space="preserve"> – </w:t>
      </w:r>
      <w:r w:rsidR="00E603EA">
        <w:t xml:space="preserve">we use two online panels from YouGov in the paper, one undertaken for an ESRC project by Curran et al that is publicly available from the UK Data Service (Study Number 7007), and one that was kindly provided via the sponsoring organisation, the TUC.  </w:t>
      </w:r>
    </w:p>
    <w:p w14:paraId="29A82C1E" w14:textId="15FB662C" w:rsidR="00C35922" w:rsidRDefault="00E603EA" w:rsidP="00C35922">
      <w:r>
        <w:t xml:space="preserve">The YouGov 2010 survey for Curran et al provides very little by way of methodological details.  From the dataset, we can tell that the survey was carried out </w:t>
      </w:r>
      <w:r w:rsidR="00110817">
        <w:t>from 6-12</w:t>
      </w:r>
      <w:r w:rsidR="00110817" w:rsidRPr="00110817">
        <w:rPr>
          <w:vertAlign w:val="superscript"/>
        </w:rPr>
        <w:t>th</w:t>
      </w:r>
      <w:r w:rsidR="00110817">
        <w:t xml:space="preserve"> </w:t>
      </w:r>
      <w:r>
        <w:t xml:space="preserve">July 2010.  </w:t>
      </w:r>
      <w:r w:rsidR="00F47A06">
        <w:t xml:space="preserve"> </w:t>
      </w:r>
      <w:r w:rsidR="00C35922">
        <w:t xml:space="preserve">The YouGov 2012 online survey for TUC was undertaken </w:t>
      </w:r>
      <w:proofErr w:type="gramStart"/>
      <w:r w:rsidR="00C35922">
        <w:t>between 11–12 December 2012</w:t>
      </w:r>
      <w:proofErr w:type="gramEnd"/>
      <w:r w:rsidR="00C35922">
        <w:t xml:space="preserve">.  YouGov note that </w:t>
      </w:r>
      <w:r w:rsidR="00C35922" w:rsidRPr="00C35922">
        <w:rPr>
          <w:i/>
        </w:rPr>
        <w:t xml:space="preserve">“the figures have been weighted and are representative of all GB adults </w:t>
      </w:r>
      <w:r w:rsidR="00C35922">
        <w:rPr>
          <w:i/>
        </w:rPr>
        <w:t>(aged 18+)</w:t>
      </w:r>
      <w:r w:rsidR="00C35922" w:rsidRPr="00C35922">
        <w:rPr>
          <w:i/>
        </w:rPr>
        <w:t>”</w:t>
      </w:r>
      <w:r w:rsidR="00C35922">
        <w:t xml:space="preserve">, and we use the YouGov-supplied weights </w:t>
      </w:r>
      <w:r w:rsidR="00F47A06">
        <w:t>for both YouGov samples.</w:t>
      </w:r>
    </w:p>
    <w:p w14:paraId="6CA4975D" w14:textId="6CD54596" w:rsidR="00F47A06" w:rsidRDefault="00F47A06" w:rsidP="00F47A06">
      <w:r>
        <w:t xml:space="preserve">YouGov provides more general descriptions of its panel at </w:t>
      </w:r>
      <w:hyperlink r:id="rId10" w:history="1">
        <w:r w:rsidRPr="001C0A46">
          <w:rPr>
            <w:rStyle w:val="Hyperlink"/>
          </w:rPr>
          <w:t>https://yougov.co.uk/about/panel-methodology/</w:t>
        </w:r>
      </w:hyperlink>
      <w:r>
        <w:t xml:space="preserve"> [accessed 27/7/2015].  This states that they have recruited a panel of 360,000 individuals in Britain over ten years, who are ‘recruited from a host of different sources’.  When they are conducting a new survey, they offer incentives to a sub-sample of the panel to take part, who are designed to be representative of British adults according to age, gender, social class and type of newspaper (upmarket, mid-market, red-top, no newspaper), according to the Census and National Readership Survey.  Further technical details about panel construction are available from the YouGov ESOMAR statement at </w:t>
      </w:r>
      <w:hyperlink r:id="rId11" w:history="1">
        <w:r w:rsidRPr="001C0A46">
          <w:rPr>
            <w:rStyle w:val="Hyperlink"/>
          </w:rPr>
          <w:t>http://web.archive.org/web/20141113110233/http://cdn.yougov.com/cumulus_uploads/document/t3r5k565j5/ESOMAR_28.pdf</w:t>
        </w:r>
      </w:hyperlink>
      <w:r>
        <w:t xml:space="preserve"> [accessed 27/7/2015].</w:t>
      </w:r>
    </w:p>
    <w:p w14:paraId="06BC1884" w14:textId="0A0DA10F" w:rsidR="00110817" w:rsidRDefault="00110817" w:rsidP="00110817">
      <w:proofErr w:type="spellStart"/>
      <w:r>
        <w:rPr>
          <w:b/>
        </w:rPr>
        <w:t>Ipsos</w:t>
      </w:r>
      <w:proofErr w:type="spellEnd"/>
      <w:r>
        <w:rPr>
          <w:b/>
        </w:rPr>
        <w:t xml:space="preserve"> MORI online panels</w:t>
      </w:r>
      <w:r>
        <w:t xml:space="preserve"> – we use two online panels from </w:t>
      </w:r>
      <w:proofErr w:type="spellStart"/>
      <w:r>
        <w:t>Ipsos</w:t>
      </w:r>
      <w:proofErr w:type="spellEnd"/>
      <w:r>
        <w:t xml:space="preserve"> MORI that were sponsored by the Royal Statistical Society &amp; Kings College London, and have kindly been made available by </w:t>
      </w:r>
      <w:proofErr w:type="spellStart"/>
      <w:r>
        <w:t>Ipsos</w:t>
      </w:r>
      <w:proofErr w:type="spellEnd"/>
      <w:r>
        <w:t xml:space="preserve"> MORI for the present project.  The interviews were conducted online with people aged 16-75 as part of </w:t>
      </w:r>
      <w:proofErr w:type="spellStart"/>
      <w:r>
        <w:t>Ipsos</w:t>
      </w:r>
      <w:proofErr w:type="spellEnd"/>
      <w:r>
        <w:t xml:space="preserve"> MORI’s i</w:t>
      </w:r>
      <w:proofErr w:type="gramStart"/>
      <w:r>
        <w:t>:Omnibus</w:t>
      </w:r>
      <w:proofErr w:type="gramEnd"/>
      <w:r>
        <w:t xml:space="preserve"> panel, and were conducted 14-18</w:t>
      </w:r>
      <w:r w:rsidRPr="00110817">
        <w:rPr>
          <w:vertAlign w:val="superscript"/>
        </w:rPr>
        <w:t>th</w:t>
      </w:r>
      <w:r>
        <w:t xml:space="preserve"> June 2013 and 5-9</w:t>
      </w:r>
      <w:r w:rsidRPr="00110817">
        <w:rPr>
          <w:vertAlign w:val="superscript"/>
        </w:rPr>
        <w:t>th</w:t>
      </w:r>
      <w:r>
        <w:t xml:space="preserve"> June 2015.  We use weights supplied by MORI that ensure the sample is matched to the National Readership Survey according to age, gender, region, social grade, working status and main shopper status.</w:t>
      </w:r>
      <w:r w:rsidR="00F47A06">
        <w:t xml:space="preserve">  Further technical details about panel construction are available from the </w:t>
      </w:r>
      <w:proofErr w:type="spellStart"/>
      <w:r w:rsidR="00F47A06">
        <w:t>Ipsos</w:t>
      </w:r>
      <w:proofErr w:type="spellEnd"/>
      <w:r w:rsidR="00F47A06">
        <w:t xml:space="preserve"> MORI ESOMAR statement at </w:t>
      </w:r>
      <w:hyperlink r:id="rId12" w:history="1">
        <w:r w:rsidR="00F47A06" w:rsidRPr="001C0A46">
          <w:rPr>
            <w:rStyle w:val="Hyperlink"/>
          </w:rPr>
          <w:t>https://www.ipsos-mori.com/Assets/Docs/Techniques/ESOMAR-28-Questions.pdf</w:t>
        </w:r>
      </w:hyperlink>
      <w:r w:rsidR="00F47A06">
        <w:t xml:space="preserve"> [accessed 27/7/2015].</w:t>
      </w:r>
    </w:p>
    <w:p w14:paraId="0FFD2CFA" w14:textId="77777777" w:rsidR="00491BA1" w:rsidRDefault="00491BA1">
      <w:pPr>
        <w:spacing w:after="160" w:line="259" w:lineRule="auto"/>
        <w:rPr>
          <w:rFonts w:asciiTheme="majorHAnsi" w:eastAsiaTheme="majorEastAsia" w:hAnsiTheme="majorHAnsi" w:cstheme="majorBidi"/>
          <w:color w:val="2E74B5" w:themeColor="accent1" w:themeShade="BF"/>
          <w:sz w:val="26"/>
          <w:szCs w:val="26"/>
        </w:rPr>
      </w:pPr>
      <w:r>
        <w:br w:type="page"/>
      </w:r>
    </w:p>
    <w:p w14:paraId="7EB31A3B" w14:textId="14DA738B" w:rsidR="00E40388" w:rsidRDefault="00265E63" w:rsidP="00E40388">
      <w:pPr>
        <w:pStyle w:val="Heading2"/>
      </w:pPr>
      <w:bookmarkStart w:id="2" w:name="_Toc429734541"/>
      <w:r>
        <w:lastRenderedPageBreak/>
        <w:t>D</w:t>
      </w:r>
      <w:r w:rsidR="00E106D4">
        <w:t>escriptive statistics</w:t>
      </w:r>
      <w:bookmarkEnd w:id="2"/>
    </w:p>
    <w:p w14:paraId="349F7867" w14:textId="4F060A00" w:rsidR="00D72F89" w:rsidRDefault="00D72F89" w:rsidP="00D72F89">
      <w:pPr>
        <w:pStyle w:val="Caption"/>
        <w:keepNext/>
        <w:spacing w:after="0"/>
      </w:pPr>
      <w:r>
        <w:t xml:space="preserve">Table </w:t>
      </w:r>
      <w:r w:rsidR="00797102">
        <w:fldChar w:fldCharType="begin"/>
      </w:r>
      <w:r w:rsidR="00797102">
        <w:instrText xml:space="preserve"> SEQ Table \* ARABIC </w:instrText>
      </w:r>
      <w:r w:rsidR="00797102">
        <w:fldChar w:fldCharType="separate"/>
      </w:r>
      <w:r>
        <w:rPr>
          <w:noProof/>
        </w:rPr>
        <w:t>1</w:t>
      </w:r>
      <w:r w:rsidR="00797102">
        <w:rPr>
          <w:noProof/>
        </w:rPr>
        <w:fldChar w:fldCharType="end"/>
      </w:r>
      <w:r>
        <w:t xml:space="preserve">: Age and sex of each sample wave </w:t>
      </w:r>
    </w:p>
    <w:tbl>
      <w:tblPr>
        <w:tblW w:w="7366" w:type="dxa"/>
        <w:jc w:val="center"/>
        <w:tblLook w:val="04A0" w:firstRow="1" w:lastRow="0" w:firstColumn="1" w:lastColumn="0" w:noHBand="0" w:noVBand="1"/>
      </w:tblPr>
      <w:tblGrid>
        <w:gridCol w:w="3007"/>
        <w:gridCol w:w="960"/>
        <w:gridCol w:w="1101"/>
        <w:gridCol w:w="1164"/>
        <w:gridCol w:w="1134"/>
      </w:tblGrid>
      <w:tr w:rsidR="00A23465" w:rsidRPr="00A23465" w14:paraId="6C68B881" w14:textId="77777777" w:rsidTr="00D72F89">
        <w:trPr>
          <w:trHeight w:val="576"/>
          <w:jc w:val="center"/>
        </w:trPr>
        <w:tc>
          <w:tcPr>
            <w:tcW w:w="3007" w:type="dxa"/>
            <w:tcBorders>
              <w:top w:val="single" w:sz="4" w:space="0" w:color="auto"/>
              <w:left w:val="single" w:sz="4" w:space="0" w:color="auto"/>
              <w:bottom w:val="single" w:sz="4" w:space="0" w:color="auto"/>
              <w:right w:val="nil"/>
            </w:tcBorders>
            <w:shd w:val="clear" w:color="auto" w:fill="auto"/>
            <w:noWrap/>
            <w:vAlign w:val="center"/>
            <w:hideMark/>
          </w:tcPr>
          <w:p w14:paraId="0D0FD899" w14:textId="77777777" w:rsidR="00A23465" w:rsidRPr="00A23465" w:rsidRDefault="00A23465" w:rsidP="00A23465">
            <w:pPr>
              <w:spacing w:after="0"/>
              <w:jc w:val="center"/>
              <w:rPr>
                <w:rFonts w:ascii="Calibri" w:eastAsia="Times New Roman" w:hAnsi="Calibri" w:cs="Times New Roman"/>
                <w:b/>
                <w:bCs/>
                <w:color w:val="000000"/>
                <w:szCs w:val="22"/>
                <w:lang w:eastAsia="en-GB"/>
              </w:rPr>
            </w:pPr>
            <w:r w:rsidRPr="00A23465">
              <w:rPr>
                <w:rFonts w:ascii="Calibri" w:eastAsia="Times New Roman" w:hAnsi="Calibri" w:cs="Times New Roman"/>
                <w:b/>
                <w:bCs/>
                <w:color w:val="000000"/>
                <w:szCs w:val="22"/>
                <w:lang w:eastAsia="en-GB"/>
              </w:rPr>
              <w:t> </w:t>
            </w:r>
          </w:p>
        </w:tc>
        <w:tc>
          <w:tcPr>
            <w:tcW w:w="960" w:type="dxa"/>
            <w:tcBorders>
              <w:top w:val="single" w:sz="4" w:space="0" w:color="auto"/>
              <w:left w:val="nil"/>
              <w:bottom w:val="single" w:sz="4" w:space="0" w:color="auto"/>
              <w:right w:val="nil"/>
            </w:tcBorders>
            <w:shd w:val="clear" w:color="auto" w:fill="auto"/>
            <w:vAlign w:val="center"/>
            <w:hideMark/>
          </w:tcPr>
          <w:p w14:paraId="33F516BC" w14:textId="77777777" w:rsidR="00A23465" w:rsidRPr="00A23465" w:rsidRDefault="00A23465" w:rsidP="00A23465">
            <w:pPr>
              <w:spacing w:after="0"/>
              <w:jc w:val="center"/>
              <w:rPr>
                <w:rFonts w:ascii="Calibri" w:eastAsia="Times New Roman" w:hAnsi="Calibri" w:cs="Times New Roman"/>
                <w:b/>
                <w:bCs/>
                <w:color w:val="000000"/>
                <w:szCs w:val="22"/>
                <w:lang w:eastAsia="en-GB"/>
              </w:rPr>
            </w:pPr>
            <w:r w:rsidRPr="00A23465">
              <w:rPr>
                <w:rFonts w:ascii="Calibri" w:eastAsia="Times New Roman" w:hAnsi="Calibri" w:cs="Times New Roman"/>
                <w:b/>
                <w:bCs/>
                <w:color w:val="000000"/>
                <w:szCs w:val="22"/>
                <w:lang w:eastAsia="en-GB"/>
              </w:rPr>
              <w:t>Min age</w:t>
            </w:r>
          </w:p>
        </w:tc>
        <w:tc>
          <w:tcPr>
            <w:tcW w:w="1101" w:type="dxa"/>
            <w:tcBorders>
              <w:top w:val="single" w:sz="4" w:space="0" w:color="auto"/>
              <w:left w:val="nil"/>
              <w:bottom w:val="single" w:sz="4" w:space="0" w:color="auto"/>
              <w:right w:val="nil"/>
            </w:tcBorders>
            <w:shd w:val="clear" w:color="auto" w:fill="auto"/>
            <w:noWrap/>
            <w:vAlign w:val="center"/>
            <w:hideMark/>
          </w:tcPr>
          <w:p w14:paraId="5C760A21" w14:textId="77777777" w:rsidR="00A23465" w:rsidRPr="00A23465" w:rsidRDefault="00A23465" w:rsidP="00A23465">
            <w:pPr>
              <w:spacing w:after="0"/>
              <w:jc w:val="center"/>
              <w:rPr>
                <w:rFonts w:ascii="Calibri" w:eastAsia="Times New Roman" w:hAnsi="Calibri" w:cs="Times New Roman"/>
                <w:b/>
                <w:bCs/>
                <w:color w:val="000000"/>
                <w:szCs w:val="22"/>
                <w:lang w:eastAsia="en-GB"/>
              </w:rPr>
            </w:pPr>
            <w:r w:rsidRPr="00A23465">
              <w:rPr>
                <w:rFonts w:ascii="Calibri" w:eastAsia="Times New Roman" w:hAnsi="Calibri" w:cs="Times New Roman"/>
                <w:b/>
                <w:bCs/>
                <w:color w:val="000000"/>
                <w:szCs w:val="22"/>
                <w:lang w:eastAsia="en-GB"/>
              </w:rPr>
              <w:t>Max age</w:t>
            </w:r>
          </w:p>
        </w:tc>
        <w:tc>
          <w:tcPr>
            <w:tcW w:w="1164" w:type="dxa"/>
            <w:tcBorders>
              <w:top w:val="single" w:sz="4" w:space="0" w:color="auto"/>
              <w:left w:val="nil"/>
              <w:bottom w:val="single" w:sz="4" w:space="0" w:color="auto"/>
              <w:right w:val="nil"/>
            </w:tcBorders>
            <w:shd w:val="clear" w:color="auto" w:fill="auto"/>
            <w:vAlign w:val="center"/>
            <w:hideMark/>
          </w:tcPr>
          <w:p w14:paraId="376F7A0B" w14:textId="77777777" w:rsidR="00A23465" w:rsidRPr="00A23465" w:rsidRDefault="00A23465" w:rsidP="00A23465">
            <w:pPr>
              <w:spacing w:after="0"/>
              <w:jc w:val="center"/>
              <w:rPr>
                <w:rFonts w:ascii="Calibri" w:eastAsia="Times New Roman" w:hAnsi="Calibri" w:cs="Times New Roman"/>
                <w:b/>
                <w:bCs/>
                <w:color w:val="000000"/>
                <w:szCs w:val="22"/>
                <w:lang w:eastAsia="en-GB"/>
              </w:rPr>
            </w:pPr>
            <w:r w:rsidRPr="00A23465">
              <w:rPr>
                <w:rFonts w:ascii="Calibri" w:eastAsia="Times New Roman" w:hAnsi="Calibri" w:cs="Times New Roman"/>
                <w:b/>
                <w:bCs/>
                <w:color w:val="000000"/>
                <w:szCs w:val="22"/>
                <w:lang w:eastAsia="en-GB"/>
              </w:rPr>
              <w:t xml:space="preserve">Mean age </w:t>
            </w:r>
            <w:r w:rsidRPr="00A23465">
              <w:rPr>
                <w:rFonts w:ascii="Calibri" w:eastAsia="Times New Roman" w:hAnsi="Calibri" w:cs="Times New Roman"/>
                <w:b/>
                <w:bCs/>
                <w:color w:val="000000"/>
                <w:szCs w:val="22"/>
                <w:lang w:eastAsia="en-GB"/>
              </w:rPr>
              <w:br/>
            </w:r>
            <w:r w:rsidRPr="00A23465">
              <w:rPr>
                <w:rFonts w:ascii="Calibri" w:eastAsia="Times New Roman" w:hAnsi="Calibri" w:cs="Times New Roman"/>
                <w:color w:val="000000"/>
                <w:szCs w:val="22"/>
                <w:lang w:eastAsia="en-GB"/>
              </w:rPr>
              <w:t>(18-75)</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14:paraId="0A743BED" w14:textId="77777777" w:rsidR="00A23465" w:rsidRDefault="00A23465" w:rsidP="00A23465">
            <w:pPr>
              <w:spacing w:after="0"/>
              <w:jc w:val="center"/>
              <w:rPr>
                <w:rFonts w:ascii="Calibri" w:eastAsia="Times New Roman" w:hAnsi="Calibri" w:cs="Times New Roman"/>
                <w:b/>
                <w:bCs/>
                <w:color w:val="000000"/>
                <w:szCs w:val="22"/>
                <w:lang w:eastAsia="en-GB"/>
              </w:rPr>
            </w:pPr>
            <w:r w:rsidRPr="00A23465">
              <w:rPr>
                <w:rFonts w:ascii="Calibri" w:eastAsia="Times New Roman" w:hAnsi="Calibri" w:cs="Times New Roman"/>
                <w:b/>
                <w:bCs/>
                <w:color w:val="000000"/>
                <w:szCs w:val="22"/>
                <w:lang w:eastAsia="en-GB"/>
              </w:rPr>
              <w:t>% male</w:t>
            </w:r>
          </w:p>
          <w:p w14:paraId="4AA9BA9B" w14:textId="282BBA5B" w:rsidR="00D72F89" w:rsidRPr="00D72F89" w:rsidRDefault="00D72F89" w:rsidP="00A23465">
            <w:pPr>
              <w:spacing w:after="0"/>
              <w:jc w:val="center"/>
              <w:rPr>
                <w:rFonts w:ascii="Calibri" w:eastAsia="Times New Roman" w:hAnsi="Calibri" w:cs="Times New Roman"/>
                <w:bCs/>
                <w:color w:val="000000"/>
                <w:szCs w:val="22"/>
                <w:lang w:eastAsia="en-GB"/>
              </w:rPr>
            </w:pPr>
            <w:r>
              <w:rPr>
                <w:rFonts w:ascii="Calibri" w:eastAsia="Times New Roman" w:hAnsi="Calibri" w:cs="Times New Roman"/>
                <w:bCs/>
                <w:color w:val="000000"/>
                <w:szCs w:val="22"/>
                <w:lang w:eastAsia="en-GB"/>
              </w:rPr>
              <w:t>(18-75)</w:t>
            </w:r>
          </w:p>
        </w:tc>
      </w:tr>
      <w:tr w:rsidR="00A23465" w:rsidRPr="00A23465" w14:paraId="10D1B2F4"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087B11CC"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1994</w:t>
            </w:r>
          </w:p>
        </w:tc>
        <w:tc>
          <w:tcPr>
            <w:tcW w:w="960" w:type="dxa"/>
            <w:tcBorders>
              <w:top w:val="nil"/>
              <w:left w:val="nil"/>
              <w:bottom w:val="nil"/>
              <w:right w:val="nil"/>
            </w:tcBorders>
            <w:shd w:val="clear" w:color="auto" w:fill="auto"/>
            <w:noWrap/>
            <w:vAlign w:val="bottom"/>
            <w:hideMark/>
          </w:tcPr>
          <w:p w14:paraId="746665FF"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1763CBE5"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6A91C52A"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43.5</w:t>
            </w:r>
          </w:p>
        </w:tc>
        <w:tc>
          <w:tcPr>
            <w:tcW w:w="1134" w:type="dxa"/>
            <w:tcBorders>
              <w:top w:val="nil"/>
              <w:left w:val="nil"/>
              <w:bottom w:val="nil"/>
              <w:right w:val="single" w:sz="4" w:space="0" w:color="auto"/>
            </w:tcBorders>
            <w:shd w:val="clear" w:color="auto" w:fill="auto"/>
            <w:noWrap/>
            <w:vAlign w:val="bottom"/>
            <w:hideMark/>
          </w:tcPr>
          <w:p w14:paraId="7545C634"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47.2%</w:t>
            </w:r>
          </w:p>
        </w:tc>
      </w:tr>
      <w:tr w:rsidR="00A23465" w:rsidRPr="00A23465" w14:paraId="5BEA51D4"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57CAEA12"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1995</w:t>
            </w:r>
          </w:p>
        </w:tc>
        <w:tc>
          <w:tcPr>
            <w:tcW w:w="960" w:type="dxa"/>
            <w:tcBorders>
              <w:top w:val="nil"/>
              <w:left w:val="nil"/>
              <w:bottom w:val="nil"/>
              <w:right w:val="nil"/>
            </w:tcBorders>
            <w:shd w:val="clear" w:color="auto" w:fill="auto"/>
            <w:noWrap/>
            <w:vAlign w:val="bottom"/>
            <w:hideMark/>
          </w:tcPr>
          <w:p w14:paraId="1E828D8E"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117D5256"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0FCC673D"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43.9</w:t>
            </w:r>
          </w:p>
        </w:tc>
        <w:tc>
          <w:tcPr>
            <w:tcW w:w="1134" w:type="dxa"/>
            <w:tcBorders>
              <w:top w:val="nil"/>
              <w:left w:val="nil"/>
              <w:bottom w:val="nil"/>
              <w:right w:val="single" w:sz="4" w:space="0" w:color="auto"/>
            </w:tcBorders>
            <w:shd w:val="clear" w:color="auto" w:fill="auto"/>
            <w:noWrap/>
            <w:vAlign w:val="bottom"/>
            <w:hideMark/>
          </w:tcPr>
          <w:p w14:paraId="2FA15944"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46.4%</w:t>
            </w:r>
          </w:p>
        </w:tc>
      </w:tr>
      <w:tr w:rsidR="00A23465" w:rsidRPr="00A23465" w14:paraId="7EB8F0A0"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475220D6"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2000</w:t>
            </w:r>
          </w:p>
        </w:tc>
        <w:tc>
          <w:tcPr>
            <w:tcW w:w="960" w:type="dxa"/>
            <w:tcBorders>
              <w:top w:val="nil"/>
              <w:left w:val="nil"/>
              <w:bottom w:val="nil"/>
              <w:right w:val="nil"/>
            </w:tcBorders>
            <w:shd w:val="clear" w:color="auto" w:fill="auto"/>
            <w:noWrap/>
            <w:vAlign w:val="bottom"/>
            <w:hideMark/>
          </w:tcPr>
          <w:p w14:paraId="34C27E05"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24695C36"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790347A6"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44.5</w:t>
            </w:r>
          </w:p>
        </w:tc>
        <w:tc>
          <w:tcPr>
            <w:tcW w:w="1134" w:type="dxa"/>
            <w:tcBorders>
              <w:top w:val="nil"/>
              <w:left w:val="nil"/>
              <w:bottom w:val="nil"/>
              <w:right w:val="single" w:sz="4" w:space="0" w:color="auto"/>
            </w:tcBorders>
            <w:shd w:val="clear" w:color="auto" w:fill="auto"/>
            <w:noWrap/>
            <w:vAlign w:val="bottom"/>
            <w:hideMark/>
          </w:tcPr>
          <w:p w14:paraId="0DE0A8D0"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45.3%</w:t>
            </w:r>
          </w:p>
        </w:tc>
      </w:tr>
      <w:tr w:rsidR="00A23465" w:rsidRPr="00A23465" w14:paraId="5F6D7ABB"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17F42BC1"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2001</w:t>
            </w:r>
          </w:p>
        </w:tc>
        <w:tc>
          <w:tcPr>
            <w:tcW w:w="960" w:type="dxa"/>
            <w:tcBorders>
              <w:top w:val="nil"/>
              <w:left w:val="nil"/>
              <w:bottom w:val="nil"/>
              <w:right w:val="nil"/>
            </w:tcBorders>
            <w:shd w:val="clear" w:color="auto" w:fill="auto"/>
            <w:noWrap/>
            <w:vAlign w:val="bottom"/>
            <w:hideMark/>
          </w:tcPr>
          <w:p w14:paraId="0D3F47E2"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4FB5687E"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7D7676DF"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44.7</w:t>
            </w:r>
          </w:p>
        </w:tc>
        <w:tc>
          <w:tcPr>
            <w:tcW w:w="1134" w:type="dxa"/>
            <w:tcBorders>
              <w:top w:val="nil"/>
              <w:left w:val="nil"/>
              <w:bottom w:val="nil"/>
              <w:right w:val="single" w:sz="4" w:space="0" w:color="auto"/>
            </w:tcBorders>
            <w:shd w:val="clear" w:color="auto" w:fill="auto"/>
            <w:noWrap/>
            <w:vAlign w:val="bottom"/>
            <w:hideMark/>
          </w:tcPr>
          <w:p w14:paraId="44BB45B1"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46.2%</w:t>
            </w:r>
          </w:p>
        </w:tc>
      </w:tr>
      <w:tr w:rsidR="00A23465" w:rsidRPr="00A23465" w14:paraId="6B8468AE"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060A3333"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2004</w:t>
            </w:r>
          </w:p>
        </w:tc>
        <w:tc>
          <w:tcPr>
            <w:tcW w:w="960" w:type="dxa"/>
            <w:tcBorders>
              <w:top w:val="nil"/>
              <w:left w:val="nil"/>
              <w:bottom w:val="nil"/>
              <w:right w:val="nil"/>
            </w:tcBorders>
            <w:shd w:val="clear" w:color="auto" w:fill="auto"/>
            <w:noWrap/>
            <w:vAlign w:val="bottom"/>
            <w:hideMark/>
          </w:tcPr>
          <w:p w14:paraId="505AE825"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4A88AB42"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781ED851"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44.8</w:t>
            </w:r>
          </w:p>
        </w:tc>
        <w:tc>
          <w:tcPr>
            <w:tcW w:w="1134" w:type="dxa"/>
            <w:tcBorders>
              <w:top w:val="nil"/>
              <w:left w:val="nil"/>
              <w:bottom w:val="nil"/>
              <w:right w:val="single" w:sz="4" w:space="0" w:color="auto"/>
            </w:tcBorders>
            <w:shd w:val="clear" w:color="auto" w:fill="auto"/>
            <w:noWrap/>
            <w:vAlign w:val="bottom"/>
            <w:hideMark/>
          </w:tcPr>
          <w:p w14:paraId="525D975B"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46.2%</w:t>
            </w:r>
          </w:p>
        </w:tc>
      </w:tr>
      <w:tr w:rsidR="00A23465" w:rsidRPr="00A23465" w14:paraId="65152EE9"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51B0C742"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2005</w:t>
            </w:r>
          </w:p>
        </w:tc>
        <w:tc>
          <w:tcPr>
            <w:tcW w:w="960" w:type="dxa"/>
            <w:tcBorders>
              <w:top w:val="nil"/>
              <w:left w:val="nil"/>
              <w:bottom w:val="nil"/>
              <w:right w:val="nil"/>
            </w:tcBorders>
            <w:shd w:val="clear" w:color="auto" w:fill="auto"/>
            <w:noWrap/>
            <w:vAlign w:val="bottom"/>
            <w:hideMark/>
          </w:tcPr>
          <w:p w14:paraId="05D9061F"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71CC9040"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4FC6E1E8"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44.4</w:t>
            </w:r>
          </w:p>
        </w:tc>
        <w:tc>
          <w:tcPr>
            <w:tcW w:w="1134" w:type="dxa"/>
            <w:tcBorders>
              <w:top w:val="nil"/>
              <w:left w:val="nil"/>
              <w:bottom w:val="nil"/>
              <w:right w:val="single" w:sz="4" w:space="0" w:color="auto"/>
            </w:tcBorders>
            <w:shd w:val="clear" w:color="auto" w:fill="auto"/>
            <w:noWrap/>
            <w:vAlign w:val="bottom"/>
            <w:hideMark/>
          </w:tcPr>
          <w:p w14:paraId="1BD56876"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48.9%</w:t>
            </w:r>
          </w:p>
        </w:tc>
      </w:tr>
      <w:tr w:rsidR="00A23465" w:rsidRPr="00A23465" w14:paraId="378E14BE"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78B59BC0"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2007</w:t>
            </w:r>
          </w:p>
        </w:tc>
        <w:tc>
          <w:tcPr>
            <w:tcW w:w="960" w:type="dxa"/>
            <w:tcBorders>
              <w:top w:val="nil"/>
              <w:left w:val="nil"/>
              <w:bottom w:val="nil"/>
              <w:right w:val="nil"/>
            </w:tcBorders>
            <w:shd w:val="clear" w:color="auto" w:fill="auto"/>
            <w:noWrap/>
            <w:vAlign w:val="bottom"/>
            <w:hideMark/>
          </w:tcPr>
          <w:p w14:paraId="6A24FF4C"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2862EBD7"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75FE59CA"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44.4</w:t>
            </w:r>
          </w:p>
        </w:tc>
        <w:tc>
          <w:tcPr>
            <w:tcW w:w="1134" w:type="dxa"/>
            <w:tcBorders>
              <w:top w:val="nil"/>
              <w:left w:val="nil"/>
              <w:bottom w:val="nil"/>
              <w:right w:val="single" w:sz="4" w:space="0" w:color="auto"/>
            </w:tcBorders>
            <w:shd w:val="clear" w:color="auto" w:fill="auto"/>
            <w:noWrap/>
            <w:vAlign w:val="bottom"/>
            <w:hideMark/>
          </w:tcPr>
          <w:p w14:paraId="39C78D8C"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49.4%</w:t>
            </w:r>
          </w:p>
        </w:tc>
      </w:tr>
      <w:tr w:rsidR="00A23465" w:rsidRPr="00A23465" w14:paraId="77715D3E" w14:textId="77777777" w:rsidTr="00D72F89">
        <w:trPr>
          <w:trHeight w:val="288"/>
          <w:jc w:val="center"/>
        </w:trPr>
        <w:tc>
          <w:tcPr>
            <w:tcW w:w="3007" w:type="dxa"/>
            <w:tcBorders>
              <w:top w:val="nil"/>
              <w:left w:val="single" w:sz="4" w:space="0" w:color="auto"/>
              <w:bottom w:val="nil"/>
              <w:right w:val="nil"/>
            </w:tcBorders>
            <w:shd w:val="clear" w:color="auto" w:fill="auto"/>
            <w:noWrap/>
            <w:vAlign w:val="center"/>
            <w:hideMark/>
          </w:tcPr>
          <w:p w14:paraId="60BE918A"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2008</w:t>
            </w:r>
          </w:p>
        </w:tc>
        <w:tc>
          <w:tcPr>
            <w:tcW w:w="960" w:type="dxa"/>
            <w:tcBorders>
              <w:top w:val="nil"/>
              <w:left w:val="nil"/>
              <w:bottom w:val="nil"/>
              <w:right w:val="nil"/>
            </w:tcBorders>
            <w:shd w:val="clear" w:color="auto" w:fill="auto"/>
            <w:noWrap/>
            <w:vAlign w:val="bottom"/>
            <w:hideMark/>
          </w:tcPr>
          <w:p w14:paraId="09E25725"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17</w:t>
            </w:r>
          </w:p>
        </w:tc>
        <w:tc>
          <w:tcPr>
            <w:tcW w:w="1101" w:type="dxa"/>
            <w:tcBorders>
              <w:top w:val="nil"/>
              <w:left w:val="nil"/>
              <w:bottom w:val="nil"/>
              <w:right w:val="nil"/>
            </w:tcBorders>
            <w:shd w:val="clear" w:color="auto" w:fill="auto"/>
            <w:noWrap/>
            <w:vAlign w:val="bottom"/>
            <w:hideMark/>
          </w:tcPr>
          <w:p w14:paraId="4B35CB28"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nil"/>
              <w:right w:val="nil"/>
            </w:tcBorders>
            <w:shd w:val="clear" w:color="auto" w:fill="auto"/>
            <w:noWrap/>
            <w:vAlign w:val="bottom"/>
            <w:hideMark/>
          </w:tcPr>
          <w:p w14:paraId="69BF9785"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44.4</w:t>
            </w:r>
          </w:p>
        </w:tc>
        <w:tc>
          <w:tcPr>
            <w:tcW w:w="1134" w:type="dxa"/>
            <w:tcBorders>
              <w:top w:val="nil"/>
              <w:left w:val="nil"/>
              <w:bottom w:val="nil"/>
              <w:right w:val="single" w:sz="4" w:space="0" w:color="auto"/>
            </w:tcBorders>
            <w:shd w:val="clear" w:color="auto" w:fill="auto"/>
            <w:noWrap/>
            <w:vAlign w:val="bottom"/>
            <w:hideMark/>
          </w:tcPr>
          <w:p w14:paraId="7624A8EC"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49.6%</w:t>
            </w:r>
          </w:p>
        </w:tc>
      </w:tr>
      <w:tr w:rsidR="00A23465" w:rsidRPr="00A23465" w14:paraId="380BE4EA" w14:textId="77777777" w:rsidTr="00D72F89">
        <w:trPr>
          <w:trHeight w:val="288"/>
          <w:jc w:val="center"/>
        </w:trPr>
        <w:tc>
          <w:tcPr>
            <w:tcW w:w="3007" w:type="dxa"/>
            <w:tcBorders>
              <w:top w:val="nil"/>
              <w:left w:val="single" w:sz="4" w:space="0" w:color="auto"/>
              <w:bottom w:val="single" w:sz="4" w:space="0" w:color="auto"/>
              <w:right w:val="nil"/>
            </w:tcBorders>
            <w:shd w:val="clear" w:color="auto" w:fill="auto"/>
            <w:noWrap/>
            <w:vAlign w:val="bottom"/>
            <w:hideMark/>
          </w:tcPr>
          <w:p w14:paraId="531308EF"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BSA 2013</w:t>
            </w:r>
          </w:p>
        </w:tc>
        <w:tc>
          <w:tcPr>
            <w:tcW w:w="960" w:type="dxa"/>
            <w:tcBorders>
              <w:top w:val="nil"/>
              <w:left w:val="nil"/>
              <w:bottom w:val="single" w:sz="4" w:space="0" w:color="auto"/>
              <w:right w:val="nil"/>
            </w:tcBorders>
            <w:shd w:val="clear" w:color="auto" w:fill="auto"/>
            <w:noWrap/>
            <w:vAlign w:val="bottom"/>
            <w:hideMark/>
          </w:tcPr>
          <w:p w14:paraId="1C4AAAF1"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17</w:t>
            </w:r>
          </w:p>
        </w:tc>
        <w:tc>
          <w:tcPr>
            <w:tcW w:w="1101" w:type="dxa"/>
            <w:tcBorders>
              <w:top w:val="nil"/>
              <w:left w:val="nil"/>
              <w:bottom w:val="single" w:sz="4" w:space="0" w:color="auto"/>
              <w:right w:val="nil"/>
            </w:tcBorders>
            <w:shd w:val="clear" w:color="auto" w:fill="auto"/>
            <w:noWrap/>
            <w:vAlign w:val="bottom"/>
            <w:hideMark/>
          </w:tcPr>
          <w:p w14:paraId="778CAB86"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99</w:t>
            </w:r>
          </w:p>
        </w:tc>
        <w:tc>
          <w:tcPr>
            <w:tcW w:w="1164" w:type="dxa"/>
            <w:tcBorders>
              <w:top w:val="nil"/>
              <w:left w:val="nil"/>
              <w:bottom w:val="single" w:sz="4" w:space="0" w:color="auto"/>
              <w:right w:val="nil"/>
            </w:tcBorders>
            <w:shd w:val="clear" w:color="auto" w:fill="auto"/>
            <w:noWrap/>
            <w:vAlign w:val="bottom"/>
            <w:hideMark/>
          </w:tcPr>
          <w:p w14:paraId="6A9D3AEC"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44.8</w:t>
            </w:r>
          </w:p>
        </w:tc>
        <w:tc>
          <w:tcPr>
            <w:tcW w:w="1134" w:type="dxa"/>
            <w:tcBorders>
              <w:top w:val="nil"/>
              <w:left w:val="nil"/>
              <w:bottom w:val="single" w:sz="4" w:space="0" w:color="auto"/>
              <w:right w:val="single" w:sz="4" w:space="0" w:color="auto"/>
            </w:tcBorders>
            <w:shd w:val="clear" w:color="auto" w:fill="auto"/>
            <w:noWrap/>
            <w:vAlign w:val="bottom"/>
            <w:hideMark/>
          </w:tcPr>
          <w:p w14:paraId="2CEA6AB1"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49.3%</w:t>
            </w:r>
          </w:p>
        </w:tc>
      </w:tr>
      <w:tr w:rsidR="00A23465" w:rsidRPr="00A23465" w14:paraId="31B38D5E" w14:textId="77777777" w:rsidTr="00D72F89">
        <w:trPr>
          <w:trHeight w:val="288"/>
          <w:jc w:val="center"/>
        </w:trPr>
        <w:tc>
          <w:tcPr>
            <w:tcW w:w="3007" w:type="dxa"/>
            <w:tcBorders>
              <w:top w:val="nil"/>
              <w:left w:val="single" w:sz="4" w:space="0" w:color="auto"/>
              <w:bottom w:val="nil"/>
              <w:right w:val="nil"/>
            </w:tcBorders>
            <w:shd w:val="clear" w:color="auto" w:fill="auto"/>
            <w:noWrap/>
            <w:vAlign w:val="bottom"/>
            <w:hideMark/>
          </w:tcPr>
          <w:p w14:paraId="3B59ABF7"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ESS 2008</w:t>
            </w:r>
          </w:p>
        </w:tc>
        <w:tc>
          <w:tcPr>
            <w:tcW w:w="960" w:type="dxa"/>
            <w:tcBorders>
              <w:top w:val="nil"/>
              <w:left w:val="nil"/>
              <w:bottom w:val="nil"/>
              <w:right w:val="nil"/>
            </w:tcBorders>
            <w:shd w:val="clear" w:color="auto" w:fill="auto"/>
            <w:noWrap/>
            <w:vAlign w:val="bottom"/>
            <w:hideMark/>
          </w:tcPr>
          <w:p w14:paraId="7A26FD17"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15</w:t>
            </w:r>
          </w:p>
        </w:tc>
        <w:tc>
          <w:tcPr>
            <w:tcW w:w="1101" w:type="dxa"/>
            <w:tcBorders>
              <w:top w:val="nil"/>
              <w:left w:val="nil"/>
              <w:bottom w:val="nil"/>
              <w:right w:val="nil"/>
            </w:tcBorders>
            <w:shd w:val="clear" w:color="auto" w:fill="auto"/>
            <w:noWrap/>
            <w:vAlign w:val="bottom"/>
            <w:hideMark/>
          </w:tcPr>
          <w:p w14:paraId="44C85DCE"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123</w:t>
            </w:r>
          </w:p>
        </w:tc>
        <w:tc>
          <w:tcPr>
            <w:tcW w:w="1164" w:type="dxa"/>
            <w:tcBorders>
              <w:top w:val="nil"/>
              <w:left w:val="nil"/>
              <w:bottom w:val="nil"/>
              <w:right w:val="nil"/>
            </w:tcBorders>
            <w:shd w:val="clear" w:color="auto" w:fill="auto"/>
            <w:noWrap/>
            <w:vAlign w:val="bottom"/>
            <w:hideMark/>
          </w:tcPr>
          <w:p w14:paraId="55C38AD1"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44.4</w:t>
            </w:r>
          </w:p>
        </w:tc>
        <w:tc>
          <w:tcPr>
            <w:tcW w:w="1134" w:type="dxa"/>
            <w:tcBorders>
              <w:top w:val="nil"/>
              <w:left w:val="nil"/>
              <w:bottom w:val="nil"/>
              <w:right w:val="single" w:sz="4" w:space="0" w:color="auto"/>
            </w:tcBorders>
            <w:shd w:val="clear" w:color="auto" w:fill="auto"/>
            <w:noWrap/>
            <w:vAlign w:val="bottom"/>
            <w:hideMark/>
          </w:tcPr>
          <w:p w14:paraId="49B14BBE"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48.7%</w:t>
            </w:r>
          </w:p>
        </w:tc>
      </w:tr>
      <w:tr w:rsidR="00A23465" w:rsidRPr="00A23465" w14:paraId="77D3CD8F" w14:textId="77777777" w:rsidTr="00D72F89">
        <w:trPr>
          <w:trHeight w:val="288"/>
          <w:jc w:val="center"/>
        </w:trPr>
        <w:tc>
          <w:tcPr>
            <w:tcW w:w="3007" w:type="dxa"/>
            <w:tcBorders>
              <w:top w:val="nil"/>
              <w:left w:val="single" w:sz="4" w:space="0" w:color="auto"/>
              <w:bottom w:val="nil"/>
              <w:right w:val="nil"/>
            </w:tcBorders>
            <w:shd w:val="clear" w:color="auto" w:fill="auto"/>
            <w:noWrap/>
            <w:vAlign w:val="bottom"/>
            <w:hideMark/>
          </w:tcPr>
          <w:p w14:paraId="504324B7" w14:textId="77777777" w:rsidR="00A23465" w:rsidRPr="00D72F89" w:rsidRDefault="00A23465" w:rsidP="00A23465">
            <w:pPr>
              <w:spacing w:after="0"/>
              <w:rPr>
                <w:rFonts w:ascii="Calibri" w:eastAsia="Times New Roman" w:hAnsi="Calibri" w:cs="Times New Roman"/>
                <w:bCs/>
                <w:color w:val="000000"/>
                <w:szCs w:val="22"/>
                <w:lang w:eastAsia="en-GB"/>
              </w:rPr>
            </w:pPr>
            <w:proofErr w:type="spellStart"/>
            <w:r w:rsidRPr="00D72F89">
              <w:rPr>
                <w:rFonts w:ascii="Calibri" w:eastAsia="Times New Roman" w:hAnsi="Calibri" w:cs="Times New Roman"/>
                <w:bCs/>
                <w:color w:val="000000"/>
                <w:szCs w:val="22"/>
                <w:lang w:eastAsia="en-GB"/>
              </w:rPr>
              <w:t>Ipsos</w:t>
            </w:r>
            <w:proofErr w:type="spellEnd"/>
            <w:r w:rsidRPr="00D72F89">
              <w:rPr>
                <w:rFonts w:ascii="Calibri" w:eastAsia="Times New Roman" w:hAnsi="Calibri" w:cs="Times New Roman"/>
                <w:bCs/>
                <w:color w:val="000000"/>
                <w:szCs w:val="22"/>
                <w:lang w:eastAsia="en-GB"/>
              </w:rPr>
              <w:t xml:space="preserve"> MORI face-to-face 2012</w:t>
            </w:r>
          </w:p>
        </w:tc>
        <w:tc>
          <w:tcPr>
            <w:tcW w:w="960" w:type="dxa"/>
            <w:tcBorders>
              <w:top w:val="nil"/>
              <w:left w:val="nil"/>
              <w:bottom w:val="nil"/>
              <w:right w:val="nil"/>
            </w:tcBorders>
            <w:shd w:val="clear" w:color="auto" w:fill="auto"/>
            <w:noWrap/>
            <w:vAlign w:val="bottom"/>
            <w:hideMark/>
          </w:tcPr>
          <w:p w14:paraId="3AE46AF4"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16</w:t>
            </w:r>
          </w:p>
        </w:tc>
        <w:tc>
          <w:tcPr>
            <w:tcW w:w="1101" w:type="dxa"/>
            <w:tcBorders>
              <w:top w:val="nil"/>
              <w:left w:val="nil"/>
              <w:bottom w:val="nil"/>
              <w:right w:val="nil"/>
            </w:tcBorders>
            <w:shd w:val="clear" w:color="auto" w:fill="auto"/>
            <w:noWrap/>
            <w:vAlign w:val="bottom"/>
            <w:hideMark/>
          </w:tcPr>
          <w:p w14:paraId="67E7F0C0"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95</w:t>
            </w:r>
          </w:p>
        </w:tc>
        <w:tc>
          <w:tcPr>
            <w:tcW w:w="1164" w:type="dxa"/>
            <w:tcBorders>
              <w:top w:val="nil"/>
              <w:left w:val="nil"/>
              <w:bottom w:val="nil"/>
              <w:right w:val="nil"/>
            </w:tcBorders>
            <w:shd w:val="clear" w:color="auto" w:fill="auto"/>
            <w:noWrap/>
            <w:vAlign w:val="bottom"/>
            <w:hideMark/>
          </w:tcPr>
          <w:p w14:paraId="480BD4FC"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44.2</w:t>
            </w:r>
          </w:p>
        </w:tc>
        <w:tc>
          <w:tcPr>
            <w:tcW w:w="1134" w:type="dxa"/>
            <w:tcBorders>
              <w:top w:val="nil"/>
              <w:left w:val="nil"/>
              <w:bottom w:val="nil"/>
              <w:right w:val="single" w:sz="4" w:space="0" w:color="auto"/>
            </w:tcBorders>
            <w:shd w:val="clear" w:color="auto" w:fill="auto"/>
            <w:noWrap/>
            <w:vAlign w:val="bottom"/>
            <w:hideMark/>
          </w:tcPr>
          <w:p w14:paraId="08F69C38"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48.4%</w:t>
            </w:r>
          </w:p>
        </w:tc>
      </w:tr>
      <w:tr w:rsidR="00A23465" w:rsidRPr="00A23465" w14:paraId="5FCC2F9D" w14:textId="77777777" w:rsidTr="00D72F89">
        <w:trPr>
          <w:trHeight w:val="288"/>
          <w:jc w:val="center"/>
        </w:trPr>
        <w:tc>
          <w:tcPr>
            <w:tcW w:w="3007" w:type="dxa"/>
            <w:tcBorders>
              <w:top w:val="nil"/>
              <w:left w:val="single" w:sz="4" w:space="0" w:color="auto"/>
              <w:bottom w:val="nil"/>
              <w:right w:val="nil"/>
            </w:tcBorders>
            <w:shd w:val="clear" w:color="auto" w:fill="auto"/>
            <w:noWrap/>
            <w:vAlign w:val="bottom"/>
            <w:hideMark/>
          </w:tcPr>
          <w:p w14:paraId="1381D027" w14:textId="77777777" w:rsidR="00A23465" w:rsidRPr="00D72F89" w:rsidRDefault="00A23465" w:rsidP="00A23465">
            <w:pPr>
              <w:spacing w:after="0"/>
              <w:rPr>
                <w:rFonts w:ascii="Calibri" w:eastAsia="Times New Roman" w:hAnsi="Calibri" w:cs="Times New Roman"/>
                <w:bCs/>
                <w:color w:val="000000"/>
                <w:szCs w:val="22"/>
                <w:lang w:eastAsia="en-GB"/>
              </w:rPr>
            </w:pPr>
            <w:proofErr w:type="spellStart"/>
            <w:r w:rsidRPr="00D72F89">
              <w:rPr>
                <w:rFonts w:ascii="Calibri" w:eastAsia="Times New Roman" w:hAnsi="Calibri" w:cs="Times New Roman"/>
                <w:bCs/>
                <w:color w:val="000000"/>
                <w:szCs w:val="22"/>
                <w:lang w:eastAsia="en-GB"/>
              </w:rPr>
              <w:t>Ipsos</w:t>
            </w:r>
            <w:proofErr w:type="spellEnd"/>
            <w:r w:rsidRPr="00D72F89">
              <w:rPr>
                <w:rFonts w:ascii="Calibri" w:eastAsia="Times New Roman" w:hAnsi="Calibri" w:cs="Times New Roman"/>
                <w:bCs/>
                <w:color w:val="000000"/>
                <w:szCs w:val="22"/>
                <w:lang w:eastAsia="en-GB"/>
              </w:rPr>
              <w:t xml:space="preserve"> MORI web 2015</w:t>
            </w:r>
          </w:p>
        </w:tc>
        <w:tc>
          <w:tcPr>
            <w:tcW w:w="960" w:type="dxa"/>
            <w:tcBorders>
              <w:top w:val="nil"/>
              <w:left w:val="nil"/>
              <w:bottom w:val="nil"/>
              <w:right w:val="nil"/>
            </w:tcBorders>
            <w:shd w:val="clear" w:color="auto" w:fill="auto"/>
            <w:noWrap/>
            <w:vAlign w:val="bottom"/>
            <w:hideMark/>
          </w:tcPr>
          <w:p w14:paraId="761B1C8A"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16</w:t>
            </w:r>
          </w:p>
        </w:tc>
        <w:tc>
          <w:tcPr>
            <w:tcW w:w="1101" w:type="dxa"/>
            <w:tcBorders>
              <w:top w:val="nil"/>
              <w:left w:val="nil"/>
              <w:bottom w:val="nil"/>
              <w:right w:val="nil"/>
            </w:tcBorders>
            <w:shd w:val="clear" w:color="auto" w:fill="auto"/>
            <w:noWrap/>
            <w:vAlign w:val="bottom"/>
            <w:hideMark/>
          </w:tcPr>
          <w:p w14:paraId="0922D911"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75</w:t>
            </w:r>
          </w:p>
        </w:tc>
        <w:tc>
          <w:tcPr>
            <w:tcW w:w="1164" w:type="dxa"/>
            <w:tcBorders>
              <w:top w:val="nil"/>
              <w:left w:val="nil"/>
              <w:bottom w:val="nil"/>
              <w:right w:val="nil"/>
            </w:tcBorders>
            <w:shd w:val="clear" w:color="auto" w:fill="auto"/>
            <w:noWrap/>
            <w:vAlign w:val="bottom"/>
            <w:hideMark/>
          </w:tcPr>
          <w:p w14:paraId="18EE0944"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44.6</w:t>
            </w:r>
          </w:p>
        </w:tc>
        <w:tc>
          <w:tcPr>
            <w:tcW w:w="1134" w:type="dxa"/>
            <w:tcBorders>
              <w:top w:val="nil"/>
              <w:left w:val="nil"/>
              <w:bottom w:val="nil"/>
              <w:right w:val="single" w:sz="4" w:space="0" w:color="auto"/>
            </w:tcBorders>
            <w:shd w:val="clear" w:color="auto" w:fill="auto"/>
            <w:noWrap/>
            <w:vAlign w:val="bottom"/>
            <w:hideMark/>
          </w:tcPr>
          <w:p w14:paraId="7EE62FFE"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50.2%</w:t>
            </w:r>
          </w:p>
        </w:tc>
      </w:tr>
      <w:tr w:rsidR="00A23465" w:rsidRPr="00A23465" w14:paraId="357F7B17" w14:textId="77777777" w:rsidTr="00D72F89">
        <w:trPr>
          <w:trHeight w:val="288"/>
          <w:jc w:val="center"/>
        </w:trPr>
        <w:tc>
          <w:tcPr>
            <w:tcW w:w="3007" w:type="dxa"/>
            <w:tcBorders>
              <w:top w:val="nil"/>
              <w:left w:val="single" w:sz="4" w:space="0" w:color="auto"/>
              <w:bottom w:val="nil"/>
              <w:right w:val="nil"/>
            </w:tcBorders>
            <w:shd w:val="clear" w:color="auto" w:fill="auto"/>
            <w:noWrap/>
            <w:vAlign w:val="bottom"/>
            <w:hideMark/>
          </w:tcPr>
          <w:p w14:paraId="374B7C1E" w14:textId="77777777" w:rsidR="00A23465" w:rsidRPr="00D72F89" w:rsidRDefault="00A23465" w:rsidP="00A23465">
            <w:pPr>
              <w:spacing w:after="0"/>
              <w:rPr>
                <w:rFonts w:ascii="Calibri" w:eastAsia="Times New Roman" w:hAnsi="Calibri" w:cs="Times New Roman"/>
                <w:bCs/>
                <w:color w:val="000000"/>
                <w:szCs w:val="22"/>
                <w:lang w:eastAsia="en-GB"/>
              </w:rPr>
            </w:pPr>
            <w:proofErr w:type="spellStart"/>
            <w:r w:rsidRPr="00D72F89">
              <w:rPr>
                <w:rFonts w:ascii="Calibri" w:eastAsia="Times New Roman" w:hAnsi="Calibri" w:cs="Times New Roman"/>
                <w:bCs/>
                <w:color w:val="000000"/>
                <w:szCs w:val="22"/>
                <w:lang w:eastAsia="en-GB"/>
              </w:rPr>
              <w:t>Ipsos</w:t>
            </w:r>
            <w:proofErr w:type="spellEnd"/>
            <w:r w:rsidRPr="00D72F89">
              <w:rPr>
                <w:rFonts w:ascii="Calibri" w:eastAsia="Times New Roman" w:hAnsi="Calibri" w:cs="Times New Roman"/>
                <w:bCs/>
                <w:color w:val="000000"/>
                <w:szCs w:val="22"/>
                <w:lang w:eastAsia="en-GB"/>
              </w:rPr>
              <w:t xml:space="preserve"> MORI web 2013</w:t>
            </w:r>
          </w:p>
        </w:tc>
        <w:tc>
          <w:tcPr>
            <w:tcW w:w="960" w:type="dxa"/>
            <w:tcBorders>
              <w:top w:val="nil"/>
              <w:left w:val="nil"/>
              <w:bottom w:val="nil"/>
              <w:right w:val="nil"/>
            </w:tcBorders>
            <w:shd w:val="clear" w:color="auto" w:fill="auto"/>
            <w:noWrap/>
            <w:vAlign w:val="bottom"/>
            <w:hideMark/>
          </w:tcPr>
          <w:p w14:paraId="65E55BD2"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16</w:t>
            </w:r>
          </w:p>
        </w:tc>
        <w:tc>
          <w:tcPr>
            <w:tcW w:w="1101" w:type="dxa"/>
            <w:tcBorders>
              <w:top w:val="nil"/>
              <w:left w:val="nil"/>
              <w:bottom w:val="nil"/>
              <w:right w:val="nil"/>
            </w:tcBorders>
            <w:shd w:val="clear" w:color="auto" w:fill="auto"/>
            <w:noWrap/>
            <w:vAlign w:val="bottom"/>
            <w:hideMark/>
          </w:tcPr>
          <w:p w14:paraId="2B0067B9"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75</w:t>
            </w:r>
          </w:p>
        </w:tc>
        <w:tc>
          <w:tcPr>
            <w:tcW w:w="1164" w:type="dxa"/>
            <w:tcBorders>
              <w:top w:val="nil"/>
              <w:left w:val="nil"/>
              <w:bottom w:val="nil"/>
              <w:right w:val="nil"/>
            </w:tcBorders>
            <w:shd w:val="clear" w:color="auto" w:fill="auto"/>
            <w:noWrap/>
            <w:vAlign w:val="bottom"/>
            <w:hideMark/>
          </w:tcPr>
          <w:p w14:paraId="4997F547"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44.2</w:t>
            </w:r>
          </w:p>
        </w:tc>
        <w:tc>
          <w:tcPr>
            <w:tcW w:w="1134" w:type="dxa"/>
            <w:tcBorders>
              <w:top w:val="nil"/>
              <w:left w:val="nil"/>
              <w:bottom w:val="nil"/>
              <w:right w:val="single" w:sz="4" w:space="0" w:color="auto"/>
            </w:tcBorders>
            <w:shd w:val="clear" w:color="auto" w:fill="auto"/>
            <w:noWrap/>
            <w:vAlign w:val="bottom"/>
            <w:hideMark/>
          </w:tcPr>
          <w:p w14:paraId="65A99329"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49.3%</w:t>
            </w:r>
          </w:p>
        </w:tc>
      </w:tr>
      <w:tr w:rsidR="00A23465" w:rsidRPr="00A23465" w14:paraId="1F4B4408" w14:textId="77777777" w:rsidTr="00D72F89">
        <w:trPr>
          <w:trHeight w:val="288"/>
          <w:jc w:val="center"/>
        </w:trPr>
        <w:tc>
          <w:tcPr>
            <w:tcW w:w="3007" w:type="dxa"/>
            <w:tcBorders>
              <w:top w:val="nil"/>
              <w:left w:val="single" w:sz="4" w:space="0" w:color="auto"/>
              <w:bottom w:val="nil"/>
              <w:right w:val="nil"/>
            </w:tcBorders>
            <w:shd w:val="clear" w:color="auto" w:fill="auto"/>
            <w:noWrap/>
            <w:vAlign w:val="bottom"/>
            <w:hideMark/>
          </w:tcPr>
          <w:p w14:paraId="76A1EA1C"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YouGov/Curran et al 2010</w:t>
            </w:r>
          </w:p>
        </w:tc>
        <w:tc>
          <w:tcPr>
            <w:tcW w:w="960" w:type="dxa"/>
            <w:tcBorders>
              <w:top w:val="nil"/>
              <w:left w:val="nil"/>
              <w:bottom w:val="nil"/>
              <w:right w:val="nil"/>
            </w:tcBorders>
            <w:shd w:val="clear" w:color="auto" w:fill="auto"/>
            <w:noWrap/>
            <w:vAlign w:val="bottom"/>
            <w:hideMark/>
          </w:tcPr>
          <w:p w14:paraId="3C9F1C53"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15</w:t>
            </w:r>
          </w:p>
        </w:tc>
        <w:tc>
          <w:tcPr>
            <w:tcW w:w="1101" w:type="dxa"/>
            <w:tcBorders>
              <w:top w:val="nil"/>
              <w:left w:val="nil"/>
              <w:bottom w:val="nil"/>
              <w:right w:val="nil"/>
            </w:tcBorders>
            <w:shd w:val="clear" w:color="auto" w:fill="auto"/>
            <w:noWrap/>
            <w:vAlign w:val="bottom"/>
            <w:hideMark/>
          </w:tcPr>
          <w:p w14:paraId="3F0E6236"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89</w:t>
            </w:r>
          </w:p>
        </w:tc>
        <w:tc>
          <w:tcPr>
            <w:tcW w:w="1164" w:type="dxa"/>
            <w:tcBorders>
              <w:top w:val="nil"/>
              <w:left w:val="nil"/>
              <w:bottom w:val="nil"/>
              <w:right w:val="nil"/>
            </w:tcBorders>
            <w:shd w:val="clear" w:color="auto" w:fill="auto"/>
            <w:noWrap/>
            <w:vAlign w:val="bottom"/>
            <w:hideMark/>
          </w:tcPr>
          <w:p w14:paraId="25DA8517"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41.8</w:t>
            </w:r>
          </w:p>
        </w:tc>
        <w:tc>
          <w:tcPr>
            <w:tcW w:w="1134" w:type="dxa"/>
            <w:tcBorders>
              <w:top w:val="nil"/>
              <w:left w:val="nil"/>
              <w:bottom w:val="nil"/>
              <w:right w:val="single" w:sz="4" w:space="0" w:color="auto"/>
            </w:tcBorders>
            <w:shd w:val="clear" w:color="auto" w:fill="auto"/>
            <w:noWrap/>
            <w:vAlign w:val="bottom"/>
            <w:hideMark/>
          </w:tcPr>
          <w:p w14:paraId="4B30842B"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47.7%</w:t>
            </w:r>
          </w:p>
        </w:tc>
      </w:tr>
      <w:tr w:rsidR="00A23465" w:rsidRPr="00A23465" w14:paraId="31FBE431" w14:textId="77777777" w:rsidTr="00D72F89">
        <w:trPr>
          <w:trHeight w:val="288"/>
          <w:jc w:val="center"/>
        </w:trPr>
        <w:tc>
          <w:tcPr>
            <w:tcW w:w="3007" w:type="dxa"/>
            <w:tcBorders>
              <w:top w:val="nil"/>
              <w:left w:val="single" w:sz="4" w:space="0" w:color="auto"/>
              <w:bottom w:val="nil"/>
              <w:right w:val="nil"/>
            </w:tcBorders>
            <w:shd w:val="clear" w:color="auto" w:fill="auto"/>
            <w:noWrap/>
            <w:vAlign w:val="bottom"/>
            <w:hideMark/>
          </w:tcPr>
          <w:p w14:paraId="257DBBA7"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YouGov/EFC web 2012</w:t>
            </w:r>
          </w:p>
        </w:tc>
        <w:tc>
          <w:tcPr>
            <w:tcW w:w="960" w:type="dxa"/>
            <w:tcBorders>
              <w:top w:val="nil"/>
              <w:left w:val="nil"/>
              <w:bottom w:val="nil"/>
              <w:right w:val="nil"/>
            </w:tcBorders>
            <w:shd w:val="clear" w:color="auto" w:fill="auto"/>
            <w:noWrap/>
            <w:vAlign w:val="bottom"/>
            <w:hideMark/>
          </w:tcPr>
          <w:p w14:paraId="6394B9DA"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nil"/>
              <w:right w:val="nil"/>
            </w:tcBorders>
            <w:shd w:val="clear" w:color="auto" w:fill="auto"/>
            <w:noWrap/>
            <w:vAlign w:val="bottom"/>
            <w:hideMark/>
          </w:tcPr>
          <w:p w14:paraId="5BAAC546"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83</w:t>
            </w:r>
          </w:p>
        </w:tc>
        <w:tc>
          <w:tcPr>
            <w:tcW w:w="1164" w:type="dxa"/>
            <w:tcBorders>
              <w:top w:val="nil"/>
              <w:left w:val="nil"/>
              <w:bottom w:val="nil"/>
              <w:right w:val="nil"/>
            </w:tcBorders>
            <w:shd w:val="clear" w:color="auto" w:fill="auto"/>
            <w:noWrap/>
            <w:vAlign w:val="bottom"/>
            <w:hideMark/>
          </w:tcPr>
          <w:p w14:paraId="415EE98B"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45.7</w:t>
            </w:r>
          </w:p>
        </w:tc>
        <w:tc>
          <w:tcPr>
            <w:tcW w:w="1134" w:type="dxa"/>
            <w:tcBorders>
              <w:top w:val="nil"/>
              <w:left w:val="nil"/>
              <w:bottom w:val="nil"/>
              <w:right w:val="single" w:sz="4" w:space="0" w:color="auto"/>
            </w:tcBorders>
            <w:shd w:val="clear" w:color="auto" w:fill="auto"/>
            <w:noWrap/>
            <w:vAlign w:val="bottom"/>
            <w:hideMark/>
          </w:tcPr>
          <w:p w14:paraId="71324E89"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47.8%</w:t>
            </w:r>
          </w:p>
        </w:tc>
      </w:tr>
      <w:tr w:rsidR="00A23465" w:rsidRPr="00A23465" w14:paraId="68A9D831" w14:textId="77777777" w:rsidTr="00D72F89">
        <w:trPr>
          <w:trHeight w:val="288"/>
          <w:jc w:val="center"/>
        </w:trPr>
        <w:tc>
          <w:tcPr>
            <w:tcW w:w="3007" w:type="dxa"/>
            <w:tcBorders>
              <w:top w:val="nil"/>
              <w:left w:val="single" w:sz="4" w:space="0" w:color="auto"/>
              <w:bottom w:val="single" w:sz="4" w:space="0" w:color="auto"/>
              <w:right w:val="nil"/>
            </w:tcBorders>
            <w:shd w:val="clear" w:color="auto" w:fill="auto"/>
            <w:noWrap/>
            <w:vAlign w:val="bottom"/>
            <w:hideMark/>
          </w:tcPr>
          <w:p w14:paraId="276E008C" w14:textId="77777777" w:rsidR="00A23465" w:rsidRPr="00D72F89" w:rsidRDefault="00A23465" w:rsidP="00A23465">
            <w:pPr>
              <w:spacing w:after="0"/>
              <w:rPr>
                <w:rFonts w:ascii="Calibri" w:eastAsia="Times New Roman" w:hAnsi="Calibri" w:cs="Times New Roman"/>
                <w:bCs/>
                <w:color w:val="000000"/>
                <w:szCs w:val="22"/>
                <w:lang w:eastAsia="en-GB"/>
              </w:rPr>
            </w:pPr>
            <w:r w:rsidRPr="00D72F89">
              <w:rPr>
                <w:rFonts w:ascii="Calibri" w:eastAsia="Times New Roman" w:hAnsi="Calibri" w:cs="Times New Roman"/>
                <w:bCs/>
                <w:color w:val="000000"/>
                <w:szCs w:val="22"/>
                <w:lang w:eastAsia="en-GB"/>
              </w:rPr>
              <w:t>YouGov/TUC web 2012</w:t>
            </w:r>
          </w:p>
        </w:tc>
        <w:tc>
          <w:tcPr>
            <w:tcW w:w="960" w:type="dxa"/>
            <w:tcBorders>
              <w:top w:val="nil"/>
              <w:left w:val="nil"/>
              <w:bottom w:val="single" w:sz="4" w:space="0" w:color="auto"/>
              <w:right w:val="nil"/>
            </w:tcBorders>
            <w:shd w:val="clear" w:color="auto" w:fill="auto"/>
            <w:noWrap/>
            <w:vAlign w:val="bottom"/>
            <w:hideMark/>
          </w:tcPr>
          <w:p w14:paraId="4217BF0B"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18</w:t>
            </w:r>
          </w:p>
        </w:tc>
        <w:tc>
          <w:tcPr>
            <w:tcW w:w="1101" w:type="dxa"/>
            <w:tcBorders>
              <w:top w:val="nil"/>
              <w:left w:val="nil"/>
              <w:bottom w:val="single" w:sz="4" w:space="0" w:color="auto"/>
              <w:right w:val="nil"/>
            </w:tcBorders>
            <w:shd w:val="clear" w:color="auto" w:fill="auto"/>
            <w:noWrap/>
            <w:vAlign w:val="bottom"/>
            <w:hideMark/>
          </w:tcPr>
          <w:p w14:paraId="2408EE14"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84</w:t>
            </w:r>
          </w:p>
        </w:tc>
        <w:tc>
          <w:tcPr>
            <w:tcW w:w="1164" w:type="dxa"/>
            <w:tcBorders>
              <w:top w:val="nil"/>
              <w:left w:val="nil"/>
              <w:bottom w:val="single" w:sz="4" w:space="0" w:color="auto"/>
              <w:right w:val="nil"/>
            </w:tcBorders>
            <w:shd w:val="clear" w:color="auto" w:fill="auto"/>
            <w:noWrap/>
            <w:vAlign w:val="bottom"/>
            <w:hideMark/>
          </w:tcPr>
          <w:p w14:paraId="05A22A05"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45.8</w:t>
            </w:r>
          </w:p>
        </w:tc>
        <w:tc>
          <w:tcPr>
            <w:tcW w:w="1134" w:type="dxa"/>
            <w:tcBorders>
              <w:top w:val="nil"/>
              <w:left w:val="nil"/>
              <w:bottom w:val="single" w:sz="4" w:space="0" w:color="auto"/>
              <w:right w:val="single" w:sz="4" w:space="0" w:color="auto"/>
            </w:tcBorders>
            <w:shd w:val="clear" w:color="auto" w:fill="auto"/>
            <w:noWrap/>
            <w:vAlign w:val="bottom"/>
            <w:hideMark/>
          </w:tcPr>
          <w:p w14:paraId="3932B07F" w14:textId="77777777" w:rsidR="00A23465" w:rsidRPr="00A23465" w:rsidRDefault="00A23465" w:rsidP="00A23465">
            <w:pPr>
              <w:spacing w:after="0"/>
              <w:jc w:val="right"/>
              <w:rPr>
                <w:rFonts w:ascii="Calibri" w:eastAsia="Times New Roman" w:hAnsi="Calibri" w:cs="Times New Roman"/>
                <w:color w:val="000000"/>
                <w:szCs w:val="22"/>
                <w:lang w:eastAsia="en-GB"/>
              </w:rPr>
            </w:pPr>
            <w:r w:rsidRPr="00A23465">
              <w:rPr>
                <w:rFonts w:ascii="Calibri" w:eastAsia="Times New Roman" w:hAnsi="Calibri" w:cs="Times New Roman"/>
                <w:color w:val="000000"/>
                <w:szCs w:val="22"/>
                <w:lang w:eastAsia="en-GB"/>
              </w:rPr>
              <w:t>48.1%</w:t>
            </w:r>
          </w:p>
        </w:tc>
      </w:tr>
    </w:tbl>
    <w:p w14:paraId="482F2239" w14:textId="073A2332" w:rsidR="00E40388" w:rsidRPr="00D72F89" w:rsidRDefault="00D72F89" w:rsidP="00D72F89">
      <w:pPr>
        <w:ind w:left="993"/>
        <w:rPr>
          <w:sz w:val="18"/>
        </w:rPr>
      </w:pPr>
      <w:proofErr w:type="gramStart"/>
      <w:r w:rsidRPr="00D72F89">
        <w:rPr>
          <w:sz w:val="18"/>
        </w:rPr>
        <w:t>Based on weighted data.</w:t>
      </w:r>
      <w:proofErr w:type="gramEnd"/>
    </w:p>
    <w:p w14:paraId="75A6CFB8" w14:textId="77777777" w:rsidR="00D72F89" w:rsidRDefault="00D72F89" w:rsidP="00D72F89"/>
    <w:p w14:paraId="4F91F518" w14:textId="77777777" w:rsidR="00D72F89" w:rsidRPr="00D72F89" w:rsidRDefault="00D72F89" w:rsidP="00D72F89">
      <w:pPr>
        <w:sectPr w:rsidR="00D72F89" w:rsidRPr="00D72F89">
          <w:pgSz w:w="11906" w:h="16838"/>
          <w:pgMar w:top="1440" w:right="1440" w:bottom="1440" w:left="1440" w:header="708" w:footer="708" w:gutter="0"/>
          <w:cols w:space="708"/>
          <w:docGrid w:linePitch="360"/>
        </w:sectPr>
      </w:pPr>
    </w:p>
    <w:p w14:paraId="5340CA4F" w14:textId="77777777" w:rsidR="00E40388" w:rsidRDefault="00342A51" w:rsidP="00E40388">
      <w:pPr>
        <w:pStyle w:val="Heading2"/>
      </w:pPr>
      <w:bookmarkStart w:id="3" w:name="_Ref425422170"/>
      <w:bookmarkStart w:id="4" w:name="_Toc429734542"/>
      <w:r>
        <w:lastRenderedPageBreak/>
        <w:t>Benefit belief q</w:t>
      </w:r>
      <w:r w:rsidR="00E106D4">
        <w:t>uestion wording</w:t>
      </w:r>
      <w:bookmarkEnd w:id="3"/>
      <w:bookmarkEnd w:id="4"/>
    </w:p>
    <w:p w14:paraId="779E1E39" w14:textId="77777777" w:rsidR="00E106D4" w:rsidRDefault="00135C54" w:rsidP="00B27974">
      <w:pPr>
        <w:pStyle w:val="Heading3"/>
      </w:pPr>
      <w:r>
        <w:t>Perceptions of b</w:t>
      </w:r>
      <w:r w:rsidR="00E106D4">
        <w:t>enefit fraud</w:t>
      </w:r>
    </w:p>
    <w:p w14:paraId="07FA75A2" w14:textId="77777777" w:rsidR="00E5618D" w:rsidRPr="00F4333B" w:rsidRDefault="00E5618D" w:rsidP="00E106D4">
      <w:pPr>
        <w:rPr>
          <w:rFonts w:ascii="Calibri" w:hAnsi="Calibri"/>
          <w:color w:val="000000"/>
          <w:szCs w:val="22"/>
        </w:rPr>
      </w:pPr>
      <w:r w:rsidRPr="00F4333B">
        <w:rPr>
          <w:rFonts w:ascii="Calibri" w:hAnsi="Calibri"/>
          <w:color w:val="000000"/>
          <w:szCs w:val="22"/>
        </w:rPr>
        <w:t xml:space="preserve">NOTE: The first three questions ask about benefit fraud specifically, while the final two ask about ‘false claims’.  Note that some questions ask about the perceived share of claimants (2012 </w:t>
      </w:r>
      <w:proofErr w:type="spellStart"/>
      <w:r w:rsidRPr="00F4333B">
        <w:rPr>
          <w:rFonts w:ascii="Calibri" w:hAnsi="Calibri"/>
          <w:color w:val="000000"/>
          <w:szCs w:val="22"/>
        </w:rPr>
        <w:t>Ipsos</w:t>
      </w:r>
      <w:proofErr w:type="spellEnd"/>
      <w:r w:rsidRPr="00F4333B">
        <w:rPr>
          <w:rFonts w:ascii="Calibri" w:hAnsi="Calibri"/>
          <w:color w:val="000000"/>
          <w:szCs w:val="22"/>
        </w:rPr>
        <w:t xml:space="preserve"> MORI/EFC, 2007 BSA), while others ask about the perceived share of spending (2013 </w:t>
      </w:r>
      <w:proofErr w:type="spellStart"/>
      <w:r w:rsidRPr="00F4333B">
        <w:rPr>
          <w:rFonts w:ascii="Calibri" w:hAnsi="Calibri"/>
          <w:color w:val="000000"/>
          <w:szCs w:val="22"/>
        </w:rPr>
        <w:t>Ipsos</w:t>
      </w:r>
      <w:proofErr w:type="spellEnd"/>
      <w:r w:rsidRPr="00F4333B">
        <w:rPr>
          <w:rFonts w:ascii="Calibri" w:hAnsi="Calibri"/>
          <w:color w:val="000000"/>
          <w:szCs w:val="22"/>
        </w:rPr>
        <w:t xml:space="preserve"> MORI/RSS/KCL, 2012 YouGov/TUC).</w:t>
      </w:r>
    </w:p>
    <w:p w14:paraId="2E7F8452" w14:textId="77777777" w:rsidR="00E106D4" w:rsidRDefault="00E106D4" w:rsidP="00E106D4">
      <w:pPr>
        <w:rPr>
          <w:rFonts w:ascii="Calibri" w:hAnsi="Calibri"/>
          <w:color w:val="000000"/>
          <w:szCs w:val="22"/>
        </w:rPr>
      </w:pPr>
      <w:r>
        <w:rPr>
          <w:rFonts w:ascii="Calibri" w:hAnsi="Calibri"/>
          <w:color w:val="000000"/>
          <w:szCs w:val="22"/>
        </w:rPr>
        <w:t xml:space="preserve">The 2012 </w:t>
      </w:r>
      <w:proofErr w:type="spellStart"/>
      <w:r>
        <w:rPr>
          <w:rFonts w:ascii="Calibri" w:hAnsi="Calibri"/>
          <w:color w:val="000000"/>
          <w:szCs w:val="22"/>
        </w:rPr>
        <w:t>Ipsos</w:t>
      </w:r>
      <w:proofErr w:type="spellEnd"/>
      <w:r>
        <w:rPr>
          <w:rFonts w:ascii="Calibri" w:hAnsi="Calibri"/>
          <w:color w:val="000000"/>
          <w:szCs w:val="22"/>
        </w:rPr>
        <w:t xml:space="preserve"> MORI face-to-face survey (sponsored by EFC) asks:</w:t>
      </w:r>
    </w:p>
    <w:p w14:paraId="6D0407AA" w14:textId="77777777" w:rsidR="00E106D4" w:rsidRPr="00F4333B" w:rsidRDefault="00E106D4" w:rsidP="00E106D4">
      <w:pPr>
        <w:ind w:left="720"/>
        <w:rPr>
          <w:rFonts w:ascii="Calibri" w:hAnsi="Calibri"/>
          <w:i/>
          <w:color w:val="000000"/>
          <w:szCs w:val="22"/>
        </w:rPr>
      </w:pPr>
      <w:r w:rsidRPr="00F4333B">
        <w:rPr>
          <w:rFonts w:ascii="Calibri" w:hAnsi="Calibri"/>
          <w:i/>
          <w:color w:val="000000"/>
          <w:szCs w:val="22"/>
        </w:rPr>
        <w:t xml:space="preserve">"The Government release figures on the amount of ‘benefit fraud’ – where some people </w:t>
      </w:r>
      <w:r w:rsidRPr="00F4333B">
        <w:rPr>
          <w:rFonts w:ascii="Calibri" w:hAnsi="Calibri"/>
          <w:i/>
          <w:iCs/>
          <w:color w:val="000000"/>
          <w:szCs w:val="22"/>
        </w:rPr>
        <w:t>deliberately deceive</w:t>
      </w:r>
      <w:r w:rsidRPr="00F4333B">
        <w:rPr>
          <w:rFonts w:ascii="Calibri" w:hAnsi="Calibri"/>
          <w:i/>
          <w:color w:val="000000"/>
          <w:szCs w:val="22"/>
        </w:rPr>
        <w:t xml:space="preserve"> the Government, as they would not be entitled to benefits if they told the truth.    </w:t>
      </w:r>
      <w:r w:rsidRPr="00F4333B">
        <w:rPr>
          <w:rFonts w:ascii="Calibri" w:hAnsi="Calibri"/>
          <w:i/>
          <w:color w:val="000000"/>
          <w:szCs w:val="22"/>
          <w:u w:val="single"/>
        </w:rPr>
        <w:t>Out of every 100 people</w:t>
      </w:r>
      <w:r w:rsidRPr="00F4333B">
        <w:rPr>
          <w:rFonts w:ascii="Calibri" w:hAnsi="Calibri"/>
          <w:i/>
          <w:color w:val="000000"/>
          <w:szCs w:val="22"/>
        </w:rPr>
        <w:t xml:space="preserve"> claiming out-of-work benefits, how many, if any, would you say, commit fraud in this way?  Even if you are not sure, just give your best guess."</w:t>
      </w:r>
    </w:p>
    <w:p w14:paraId="4EA708B5" w14:textId="77777777" w:rsidR="00E106D4" w:rsidRDefault="00E106D4" w:rsidP="00E106D4">
      <w:r>
        <w:t xml:space="preserve">The 2013 </w:t>
      </w:r>
      <w:proofErr w:type="spellStart"/>
      <w:r>
        <w:t>Ipsos</w:t>
      </w:r>
      <w:proofErr w:type="spellEnd"/>
      <w:r>
        <w:t xml:space="preserve"> MORI web survey (sponsored by RSS/KCL) asks:</w:t>
      </w:r>
    </w:p>
    <w:p w14:paraId="7905DCA5" w14:textId="77777777" w:rsidR="00E106D4" w:rsidRPr="00F4333B" w:rsidRDefault="00E106D4" w:rsidP="00E106D4">
      <w:pPr>
        <w:ind w:left="720"/>
        <w:rPr>
          <w:i/>
        </w:rPr>
      </w:pPr>
      <w:r w:rsidRPr="00F4333B">
        <w:rPr>
          <w:i/>
        </w:rPr>
        <w:t>“Out of every £100 spent from the welfare budget, can you tell me how much of that is claimed fraudulently (i.e. people who dishonestly claim more benefits than they are entitled to)? Even if you are not sure, please just give your best guess and answer in whole numbers.”</w:t>
      </w:r>
    </w:p>
    <w:p w14:paraId="70EE9E6C" w14:textId="77777777" w:rsidR="00E106D4" w:rsidRDefault="00E106D4" w:rsidP="00E106D4">
      <w:r>
        <w:t>The 2012 YouGov web survey (sponsored by the TUC) asks</w:t>
      </w:r>
      <w:r w:rsidR="00EF7402">
        <w:t xml:space="preserve"> exactly the same question as</w:t>
      </w:r>
      <w:r>
        <w:t>:</w:t>
      </w:r>
    </w:p>
    <w:p w14:paraId="0D409870" w14:textId="77777777" w:rsidR="00E106D4" w:rsidRPr="00F4333B" w:rsidRDefault="00E106D4" w:rsidP="00E106D4">
      <w:pPr>
        <w:ind w:left="720"/>
        <w:rPr>
          <w:rFonts w:ascii="Calibri" w:hAnsi="Calibri"/>
          <w:i/>
          <w:iCs/>
          <w:color w:val="000000"/>
          <w:szCs w:val="22"/>
        </w:rPr>
      </w:pPr>
      <w:r w:rsidRPr="00F4333B">
        <w:rPr>
          <w:rFonts w:ascii="Calibri" w:hAnsi="Calibri"/>
          <w:i/>
          <w:iCs/>
          <w:color w:val="000000"/>
          <w:szCs w:val="22"/>
        </w:rPr>
        <w:t xml:space="preserve"> “Out of every £100 spent from the welfare budget, can you tell me how much of that is claimed fraudulently (i.e. people who dishonestly claim more benefits than they are entitled to)? (Even if you are not sure, please just give your best guess and answer in whole numbers.)”</w:t>
      </w:r>
    </w:p>
    <w:p w14:paraId="0224B644" w14:textId="77777777" w:rsidR="00E106D4" w:rsidRDefault="00E106D4" w:rsidP="00E106D4">
      <w:pPr>
        <w:ind w:left="720"/>
        <w:rPr>
          <w:rFonts w:ascii="Calibri" w:hAnsi="Calibri"/>
          <w:iCs/>
          <w:color w:val="000000"/>
          <w:szCs w:val="22"/>
        </w:rPr>
      </w:pPr>
      <w:r w:rsidRPr="00E106D4">
        <w:t>[</w:t>
      </w:r>
      <w:r>
        <w:t>The p</w:t>
      </w:r>
      <w:r w:rsidRPr="00E106D4">
        <w:t xml:space="preserve">revious question defines ‘welfare budget’ as </w:t>
      </w:r>
      <w:r>
        <w:t xml:space="preserve">follows: </w:t>
      </w:r>
      <w:r w:rsidRPr="00E106D4">
        <w:t>“</w:t>
      </w:r>
      <w:r w:rsidRPr="00E106D4">
        <w:rPr>
          <w:rFonts w:ascii="Calibri" w:hAnsi="Calibri"/>
          <w:iCs/>
          <w:color w:val="000000"/>
          <w:szCs w:val="22"/>
        </w:rPr>
        <w:t>The government’s welfare budget pays for pensions, tax credits, benefits for the unemployed, the disabled and other groups.”]</w:t>
      </w:r>
    </w:p>
    <w:p w14:paraId="5570FD4F" w14:textId="77777777" w:rsidR="00342A51" w:rsidRDefault="00342A51" w:rsidP="00342A51">
      <w:r>
        <w:t>The 2007 BSA face-to-face survey asks two successive questions:</w:t>
      </w:r>
    </w:p>
    <w:p w14:paraId="6AB298CA" w14:textId="77777777" w:rsidR="00342A51" w:rsidRPr="00F4333B" w:rsidRDefault="00342A51" w:rsidP="00342A51">
      <w:pPr>
        <w:ind w:left="720"/>
        <w:rPr>
          <w:i/>
        </w:rPr>
      </w:pPr>
      <w:r w:rsidRPr="00F4333B">
        <w:rPr>
          <w:i/>
        </w:rPr>
        <w:t xml:space="preserve">“Out of every 100 people receiving </w:t>
      </w:r>
      <w:r w:rsidRPr="00F4333B">
        <w:rPr>
          <w:b/>
          <w:i/>
        </w:rPr>
        <w:t>sickness or disability benefits</w:t>
      </w:r>
      <w:r w:rsidRPr="00F4333B">
        <w:rPr>
          <w:i/>
        </w:rPr>
        <w:t xml:space="preserve">, how many do you think are </w:t>
      </w:r>
      <w:r w:rsidRPr="00F4333B">
        <w:rPr>
          <w:b/>
          <w:i/>
        </w:rPr>
        <w:t>falsely</w:t>
      </w:r>
      <w:r w:rsidRPr="00F4333B">
        <w:rPr>
          <w:i/>
        </w:rPr>
        <w:t xml:space="preserve"> claiming the benefits? INTERVIEWER: ENCOURAGE BEST ESTIMATE IF UNSURE.”</w:t>
      </w:r>
    </w:p>
    <w:p w14:paraId="609C6D19" w14:textId="77777777" w:rsidR="00342A51" w:rsidRDefault="00342A51" w:rsidP="00342A51">
      <w:pPr>
        <w:ind w:left="720"/>
        <w:rPr>
          <w:i/>
        </w:rPr>
      </w:pPr>
      <w:r w:rsidRPr="00F4333B">
        <w:rPr>
          <w:i/>
        </w:rPr>
        <w:t xml:space="preserve">“And out of every 100 people receiving </w:t>
      </w:r>
      <w:r w:rsidRPr="00F4333B">
        <w:rPr>
          <w:b/>
          <w:i/>
        </w:rPr>
        <w:t>unemployment benefits</w:t>
      </w:r>
      <w:r w:rsidRPr="00F4333B">
        <w:rPr>
          <w:i/>
        </w:rPr>
        <w:t xml:space="preserve">, how many do you think are </w:t>
      </w:r>
      <w:r w:rsidRPr="00F4333B">
        <w:rPr>
          <w:b/>
          <w:i/>
        </w:rPr>
        <w:t>falsely</w:t>
      </w:r>
      <w:r w:rsidRPr="00F4333B">
        <w:rPr>
          <w:i/>
        </w:rPr>
        <w:t xml:space="preserve"> claiming the benefits?  INTERVIEWER: ENCOURAGE BEST ESTIMATE IF UNSURE.”</w:t>
      </w:r>
    </w:p>
    <w:p w14:paraId="6C12519D" w14:textId="77777777" w:rsidR="00F4333B" w:rsidRPr="00F4333B" w:rsidRDefault="00F4333B" w:rsidP="00342A51">
      <w:pPr>
        <w:ind w:left="720"/>
        <w:rPr>
          <w:i/>
        </w:rPr>
      </w:pPr>
      <w:r>
        <w:rPr>
          <w:i/>
        </w:rPr>
        <w:t>[Bold text included in the original survey]</w:t>
      </w:r>
    </w:p>
    <w:p w14:paraId="15D1E5B4" w14:textId="77777777" w:rsidR="00F4333B" w:rsidRDefault="00F4333B" w:rsidP="00EF7402">
      <w:pPr>
        <w:spacing w:after="0"/>
      </w:pPr>
    </w:p>
    <w:p w14:paraId="3065F2FF" w14:textId="77777777" w:rsidR="00EF7402" w:rsidRDefault="00EF7402" w:rsidP="00EF7402">
      <w:pPr>
        <w:spacing w:after="0"/>
      </w:pPr>
      <w:r>
        <w:t xml:space="preserve">As discussed in the text, the 2013 </w:t>
      </w:r>
      <w:proofErr w:type="spellStart"/>
      <w:r>
        <w:t>Ipsos</w:t>
      </w:r>
      <w:proofErr w:type="spellEnd"/>
      <w:r>
        <w:t xml:space="preserve"> MORI web survey followed up this question on fraud by asking, </w:t>
      </w:r>
      <w:r w:rsidRPr="00F4333B">
        <w:rPr>
          <w:i/>
        </w:rPr>
        <w:t>“When you were answering the last question, which of the following activities, if any, were you thinking of as fraud?”</w:t>
      </w:r>
      <w:r>
        <w:t>, giving the following response options as well as ‘other’ and ‘don’t know’:</w:t>
      </w:r>
    </w:p>
    <w:p w14:paraId="5227FAD9" w14:textId="77777777" w:rsidR="00EF7402" w:rsidRPr="00EF7402" w:rsidRDefault="00EF7402" w:rsidP="00EF7402">
      <w:pPr>
        <w:pStyle w:val="ListParagraph"/>
        <w:spacing w:before="240" w:after="0"/>
        <w:rPr>
          <w:i/>
        </w:rPr>
      </w:pPr>
      <w:r w:rsidRPr="00EF7402">
        <w:rPr>
          <w:i/>
        </w:rPr>
        <w:t>[Authors’ note: these responses are legally classified as fraud]</w:t>
      </w:r>
    </w:p>
    <w:p w14:paraId="62CF4B58" w14:textId="77777777" w:rsidR="00EF7402" w:rsidRDefault="00EF7402" w:rsidP="00EF7402">
      <w:pPr>
        <w:pStyle w:val="ListParagraph"/>
        <w:numPr>
          <w:ilvl w:val="0"/>
          <w:numId w:val="5"/>
        </w:numPr>
        <w:spacing w:after="0"/>
      </w:pPr>
      <w:r>
        <w:t xml:space="preserve">People providing false information to claim more benefits than they are entitled to </w:t>
      </w:r>
    </w:p>
    <w:p w14:paraId="458A5A1E" w14:textId="77777777" w:rsidR="00EF7402" w:rsidRDefault="00EF7402" w:rsidP="00EF7402">
      <w:pPr>
        <w:pStyle w:val="ListParagraph"/>
        <w:numPr>
          <w:ilvl w:val="0"/>
          <w:numId w:val="5"/>
        </w:numPr>
        <w:spacing w:after="0"/>
      </w:pPr>
      <w:r>
        <w:t xml:space="preserve">People faking disabilities or illness </w:t>
      </w:r>
    </w:p>
    <w:p w14:paraId="67B000FF" w14:textId="77777777" w:rsidR="00EF7402" w:rsidRDefault="00EF7402" w:rsidP="00EF7402">
      <w:pPr>
        <w:pStyle w:val="ListParagraph"/>
        <w:numPr>
          <w:ilvl w:val="0"/>
          <w:numId w:val="5"/>
        </w:numPr>
        <w:spacing w:after="0"/>
      </w:pPr>
      <w:r>
        <w:t xml:space="preserve">Not reporting changes in circumstances e.g. a partner moving in </w:t>
      </w:r>
    </w:p>
    <w:p w14:paraId="66231724" w14:textId="77777777" w:rsidR="00EF7402" w:rsidRDefault="00EF7402" w:rsidP="00EF7402">
      <w:pPr>
        <w:pStyle w:val="ListParagraph"/>
        <w:numPr>
          <w:ilvl w:val="0"/>
          <w:numId w:val="5"/>
        </w:numPr>
        <w:spacing w:after="0"/>
      </w:pPr>
      <w:r>
        <w:t xml:space="preserve">Working cash in hand </w:t>
      </w:r>
    </w:p>
    <w:p w14:paraId="6B3BBE7B" w14:textId="77777777" w:rsidR="00EF7402" w:rsidRDefault="00EF7402" w:rsidP="00EF7402">
      <w:pPr>
        <w:pStyle w:val="ListParagraph"/>
        <w:numPr>
          <w:ilvl w:val="0"/>
          <w:numId w:val="5"/>
        </w:numPr>
        <w:spacing w:after="0"/>
      </w:pPr>
      <w:r>
        <w:t xml:space="preserve">People on unemployment benefit not trying to find work </w:t>
      </w:r>
    </w:p>
    <w:p w14:paraId="6E075EEE" w14:textId="77777777" w:rsidR="00EF7402" w:rsidRPr="00EF7402" w:rsidRDefault="00EF7402" w:rsidP="00EF7402">
      <w:pPr>
        <w:pStyle w:val="ListParagraph"/>
        <w:spacing w:before="240" w:after="0"/>
        <w:rPr>
          <w:i/>
        </w:rPr>
      </w:pPr>
      <w:r w:rsidRPr="00EF7402">
        <w:rPr>
          <w:i/>
        </w:rPr>
        <w:t xml:space="preserve">[Authors’ note: these responses are </w:t>
      </w:r>
      <w:r>
        <w:rPr>
          <w:i/>
        </w:rPr>
        <w:t xml:space="preserve">NOT always </w:t>
      </w:r>
      <w:r w:rsidRPr="00EF7402">
        <w:rPr>
          <w:i/>
        </w:rPr>
        <w:t>legally classified as fraud]</w:t>
      </w:r>
    </w:p>
    <w:p w14:paraId="2BD1C02E" w14:textId="77777777" w:rsidR="00EF7402" w:rsidRDefault="00EF7402" w:rsidP="00EF7402">
      <w:pPr>
        <w:pStyle w:val="ListParagraph"/>
        <w:numPr>
          <w:ilvl w:val="0"/>
          <w:numId w:val="5"/>
        </w:numPr>
        <w:spacing w:after="0"/>
      </w:pPr>
      <w:r>
        <w:t xml:space="preserve">People from abroad/immigrants claiming benefits </w:t>
      </w:r>
    </w:p>
    <w:p w14:paraId="28C677F5" w14:textId="77777777" w:rsidR="00EF7402" w:rsidRDefault="00EF7402" w:rsidP="00EF7402">
      <w:pPr>
        <w:pStyle w:val="ListParagraph"/>
        <w:numPr>
          <w:ilvl w:val="0"/>
          <w:numId w:val="5"/>
        </w:numPr>
        <w:spacing w:after="0"/>
      </w:pPr>
      <w:r>
        <w:t xml:space="preserve">People claiming benefits who haven’t paid any taxes/national insurance </w:t>
      </w:r>
    </w:p>
    <w:p w14:paraId="60F4C446" w14:textId="77777777" w:rsidR="00EF7402" w:rsidRDefault="00EF7402" w:rsidP="00EF7402">
      <w:pPr>
        <w:pStyle w:val="ListParagraph"/>
        <w:numPr>
          <w:ilvl w:val="0"/>
          <w:numId w:val="5"/>
        </w:numPr>
        <w:spacing w:after="0"/>
      </w:pPr>
      <w:r>
        <w:lastRenderedPageBreak/>
        <w:t xml:space="preserve">People having more children so that they are entitled to more benefits </w:t>
      </w:r>
    </w:p>
    <w:p w14:paraId="291A9C34" w14:textId="77777777" w:rsidR="00135C54" w:rsidRDefault="00135C54" w:rsidP="00135C54">
      <w:pPr>
        <w:spacing w:after="0"/>
      </w:pPr>
    </w:p>
    <w:p w14:paraId="7CE74A82" w14:textId="77777777" w:rsidR="00135C54" w:rsidRDefault="00135C54" w:rsidP="00B27974">
      <w:pPr>
        <w:pStyle w:val="Heading3"/>
      </w:pPr>
      <w:r>
        <w:t>Perceptions of spending on benefits</w:t>
      </w:r>
    </w:p>
    <w:p w14:paraId="50225257" w14:textId="77777777" w:rsidR="00B27974" w:rsidRDefault="00B27974" w:rsidP="00B27974">
      <w:pPr>
        <w:pStyle w:val="Heading4"/>
      </w:pPr>
      <w:r>
        <w:t>Social security compared to other areas of government spending</w:t>
      </w:r>
    </w:p>
    <w:p w14:paraId="4FBDA9D9" w14:textId="77777777" w:rsidR="00B27974" w:rsidRDefault="00B27974" w:rsidP="00B27974">
      <w:r>
        <w:t>The 2001 BSA survey asks the following three questions:</w:t>
      </w:r>
    </w:p>
    <w:p w14:paraId="3A29C64B" w14:textId="77777777" w:rsidR="00B27974" w:rsidRPr="00F4333B" w:rsidRDefault="00B27974" w:rsidP="00B27974">
      <w:pPr>
        <w:ind w:left="720"/>
        <w:rPr>
          <w:i/>
        </w:rPr>
      </w:pPr>
      <w:r w:rsidRPr="00F4333B">
        <w:rPr>
          <w:i/>
        </w:rPr>
        <w:t xml:space="preserve">“Here are some areas of government spending. Look through the card and pick out the one area that you think has the largest amount of money spent on it at the moment. Please read through the whole list before deciding.” </w:t>
      </w:r>
    </w:p>
    <w:p w14:paraId="6FA90AA1" w14:textId="77777777" w:rsidR="00B27974" w:rsidRPr="00F4333B" w:rsidRDefault="00B27974" w:rsidP="00B27974">
      <w:pPr>
        <w:ind w:firstLine="720"/>
        <w:rPr>
          <w:i/>
        </w:rPr>
      </w:pPr>
      <w:r w:rsidRPr="00F4333B">
        <w:rPr>
          <w:i/>
        </w:rPr>
        <w:t>“And tell me which one you think has the next largest amount spent on it at the moment.”</w:t>
      </w:r>
    </w:p>
    <w:p w14:paraId="4309A518" w14:textId="77777777" w:rsidR="00B27974" w:rsidRPr="00F4333B" w:rsidRDefault="00B27974" w:rsidP="00B27974">
      <w:pPr>
        <w:ind w:left="720"/>
        <w:rPr>
          <w:i/>
        </w:rPr>
      </w:pPr>
      <w:r w:rsidRPr="00F4333B">
        <w:rPr>
          <w:i/>
        </w:rPr>
        <w:t xml:space="preserve">“And which area do you think has the smallest amount of money spent on it at the moment.” </w:t>
      </w:r>
    </w:p>
    <w:p w14:paraId="640F650E" w14:textId="77777777" w:rsidR="00B27974" w:rsidRPr="00B27974" w:rsidRDefault="00B27974" w:rsidP="00B27974">
      <w:pPr>
        <w:ind w:left="720"/>
        <w:rPr>
          <w:i/>
        </w:rPr>
      </w:pPr>
      <w:r w:rsidRPr="00B27974">
        <w:rPr>
          <w:i/>
        </w:rPr>
        <w:t xml:space="preserve">[The </w:t>
      </w:r>
      <w:proofErr w:type="spellStart"/>
      <w:r w:rsidRPr="00B27974">
        <w:rPr>
          <w:i/>
        </w:rPr>
        <w:t>showcard</w:t>
      </w:r>
      <w:proofErr w:type="spellEnd"/>
      <w:r w:rsidRPr="00B27974">
        <w:rPr>
          <w:i/>
        </w:rPr>
        <w:t xml:space="preserve"> providing response categories for these questions lists the following: </w:t>
      </w:r>
      <w:r>
        <w:rPr>
          <w:i/>
        </w:rPr>
        <w:t>“</w:t>
      </w:r>
      <w:r w:rsidRPr="00B27974">
        <w:rPr>
          <w:i/>
        </w:rPr>
        <w:t>Education | Defence | Health | Housing | Public transport | Roads | Police and prisons | Social security benefits | Help for industry | Overseas aid”]</w:t>
      </w:r>
    </w:p>
    <w:p w14:paraId="3DA4B409" w14:textId="77777777" w:rsidR="00B27974" w:rsidRDefault="00B27974" w:rsidP="00B27974">
      <w:r>
        <w:t>The 2013 MORI survey (sponsored by the RSS and KCL) asks:</w:t>
      </w:r>
    </w:p>
    <w:p w14:paraId="729B90F6" w14:textId="77777777" w:rsidR="00B27974" w:rsidRPr="00F4333B" w:rsidRDefault="00B27974" w:rsidP="00B27974">
      <w:pPr>
        <w:ind w:left="720"/>
        <w:rPr>
          <w:rFonts w:ascii="Calibri" w:hAnsi="Calibri"/>
          <w:i/>
          <w:color w:val="000000"/>
          <w:szCs w:val="22"/>
        </w:rPr>
      </w:pPr>
      <w:r w:rsidRPr="00F4333B">
        <w:rPr>
          <w:rFonts w:ascii="Calibri" w:hAnsi="Calibri"/>
          <w:i/>
          <w:color w:val="000000"/>
          <w:szCs w:val="22"/>
        </w:rPr>
        <w:t>“Which two or three, if any, of the following areas do you think the UK Government spends the most money on?”</w:t>
      </w:r>
    </w:p>
    <w:p w14:paraId="55152973" w14:textId="77777777" w:rsidR="00B27974" w:rsidRPr="00F4333B" w:rsidRDefault="00B27974" w:rsidP="00B27974">
      <w:pPr>
        <w:ind w:left="720"/>
        <w:rPr>
          <w:i/>
          <w:sz w:val="28"/>
        </w:rPr>
      </w:pPr>
      <w:r w:rsidRPr="00F4333B">
        <w:rPr>
          <w:rFonts w:ascii="Calibri" w:hAnsi="Calibri"/>
          <w:i/>
          <w:iCs/>
          <w:color w:val="000000"/>
          <w:szCs w:val="18"/>
        </w:rPr>
        <w:t xml:space="preserve">“Overseas aid | Defence | Education and schools (not including universities) | Transport | Health | Policing and criminal justice | State pensions | Working age benefits (such as tax credits and job seeker’s allowance) | Interest payments on the national debt | </w:t>
      </w:r>
      <w:proofErr w:type="gramStart"/>
      <w:r w:rsidRPr="00F4333B">
        <w:rPr>
          <w:rFonts w:ascii="Calibri" w:hAnsi="Calibri"/>
          <w:i/>
          <w:iCs/>
          <w:color w:val="000000"/>
          <w:szCs w:val="18"/>
        </w:rPr>
        <w:t>Don’t</w:t>
      </w:r>
      <w:proofErr w:type="gramEnd"/>
      <w:r w:rsidRPr="00F4333B">
        <w:rPr>
          <w:rFonts w:ascii="Calibri" w:hAnsi="Calibri"/>
          <w:i/>
          <w:iCs/>
          <w:color w:val="000000"/>
          <w:szCs w:val="18"/>
        </w:rPr>
        <w:t xml:space="preserve"> know”</w:t>
      </w:r>
    </w:p>
    <w:p w14:paraId="27E3F2D3" w14:textId="77777777" w:rsidR="00B27974" w:rsidRDefault="00F4333B" w:rsidP="00F4333B">
      <w:pPr>
        <w:pStyle w:val="Heading4"/>
      </w:pPr>
      <w:r>
        <w:t>Spending of different areas of social security</w:t>
      </w:r>
    </w:p>
    <w:p w14:paraId="6EE75E85" w14:textId="77777777" w:rsidR="00F4333B" w:rsidRDefault="00F4333B" w:rsidP="00F4333B">
      <w:r>
        <w:t>The 2001 BSA survey asks the following three questions:</w:t>
      </w:r>
    </w:p>
    <w:p w14:paraId="3D21F44D" w14:textId="77777777" w:rsidR="00B27974" w:rsidRPr="00F4333B" w:rsidRDefault="00F4333B" w:rsidP="00F4333B">
      <w:pPr>
        <w:ind w:left="720"/>
        <w:rPr>
          <w:i/>
        </w:rPr>
      </w:pPr>
      <w:r w:rsidRPr="00F4333B">
        <w:rPr>
          <w:i/>
        </w:rPr>
        <w:t>“</w:t>
      </w:r>
      <w:r w:rsidR="00B27974" w:rsidRPr="00F4333B">
        <w:rPr>
          <w:i/>
        </w:rPr>
        <w:t xml:space="preserve">Here are some of the areas covered by social security spending. Look through the card and pick out the one area that you think has the largest amount of money spent on it at the moment. </w:t>
      </w:r>
    </w:p>
    <w:p w14:paraId="5AA5FBAC" w14:textId="77777777" w:rsidR="00B27974" w:rsidRPr="00F4333B" w:rsidRDefault="00F4333B" w:rsidP="00F4333B">
      <w:pPr>
        <w:ind w:firstLine="720"/>
        <w:rPr>
          <w:i/>
        </w:rPr>
      </w:pPr>
      <w:r w:rsidRPr="00F4333B">
        <w:rPr>
          <w:i/>
        </w:rPr>
        <w:t>“</w:t>
      </w:r>
      <w:r w:rsidR="00B27974" w:rsidRPr="00F4333B">
        <w:rPr>
          <w:i/>
        </w:rPr>
        <w:t>And tell me which one you think has the next largest amount spent on it at the moment.</w:t>
      </w:r>
    </w:p>
    <w:p w14:paraId="2CB4DD30" w14:textId="77777777" w:rsidR="00B27974" w:rsidRPr="00F4333B" w:rsidRDefault="00F4333B" w:rsidP="00F4333B">
      <w:pPr>
        <w:ind w:left="720"/>
        <w:rPr>
          <w:i/>
        </w:rPr>
      </w:pPr>
      <w:r w:rsidRPr="00F4333B">
        <w:rPr>
          <w:i/>
        </w:rPr>
        <w:t>“</w:t>
      </w:r>
      <w:r w:rsidR="00B27974" w:rsidRPr="00F4333B">
        <w:rPr>
          <w:i/>
        </w:rPr>
        <w:t>And which area do you think has the smallest amount of m</w:t>
      </w:r>
      <w:r w:rsidRPr="00F4333B">
        <w:rPr>
          <w:i/>
        </w:rPr>
        <w:t>oney spent on it at the moment.”</w:t>
      </w:r>
    </w:p>
    <w:p w14:paraId="31963CE6" w14:textId="77777777" w:rsidR="00F4333B" w:rsidRPr="00B27974" w:rsidRDefault="00F4333B" w:rsidP="00F4333B">
      <w:pPr>
        <w:ind w:left="720"/>
        <w:rPr>
          <w:i/>
        </w:rPr>
      </w:pPr>
      <w:r w:rsidRPr="00B27974">
        <w:rPr>
          <w:i/>
        </w:rPr>
        <w:t xml:space="preserve">[The </w:t>
      </w:r>
      <w:proofErr w:type="spellStart"/>
      <w:r w:rsidRPr="00B27974">
        <w:rPr>
          <w:i/>
        </w:rPr>
        <w:t>showcard</w:t>
      </w:r>
      <w:proofErr w:type="spellEnd"/>
      <w:r w:rsidRPr="00B27974">
        <w:rPr>
          <w:i/>
        </w:rPr>
        <w:t xml:space="preserve"> providing response categories for these questions lists the following: </w:t>
      </w:r>
      <w:r>
        <w:rPr>
          <w:i/>
        </w:rPr>
        <w:t>“</w:t>
      </w:r>
      <w:r w:rsidRPr="00F4333B">
        <w:rPr>
          <w:i/>
        </w:rPr>
        <w:t>Retirement pensions | Child benefits |</w:t>
      </w:r>
      <w:r>
        <w:rPr>
          <w:i/>
        </w:rPr>
        <w:t xml:space="preserve"> </w:t>
      </w:r>
      <w:r w:rsidRPr="00F4333B">
        <w:rPr>
          <w:i/>
        </w:rPr>
        <w:t xml:space="preserve">Benefits for the unemployed | Benefits for disabled people | </w:t>
      </w:r>
      <w:r>
        <w:rPr>
          <w:i/>
        </w:rPr>
        <w:t>Benefits for single parents</w:t>
      </w:r>
      <w:r w:rsidRPr="00B27974">
        <w:rPr>
          <w:i/>
        </w:rPr>
        <w:t>”]</w:t>
      </w:r>
    </w:p>
    <w:p w14:paraId="6BAB21D0" w14:textId="77777777" w:rsidR="00F4333B" w:rsidRDefault="00F4333B" w:rsidP="00F4333B">
      <w:r>
        <w:t>The 2013 MORI survey (sponsored by the RSS and KCL) asks:</w:t>
      </w:r>
    </w:p>
    <w:p w14:paraId="1F3D15BC" w14:textId="77777777" w:rsidR="00F4333B" w:rsidRPr="00F4333B" w:rsidRDefault="00F4333B" w:rsidP="00F4333B">
      <w:pPr>
        <w:ind w:left="720"/>
        <w:rPr>
          <w:i/>
        </w:rPr>
      </w:pPr>
      <w:r w:rsidRPr="00F4333B">
        <w:rPr>
          <w:i/>
        </w:rPr>
        <w:t xml:space="preserve">“And which do you think the UK Government spends more on, Job Seeker’s Allowance (JSA) or state pensions? [Response options are: JSA, Pensions, Both the same, </w:t>
      </w:r>
      <w:proofErr w:type="gramStart"/>
      <w:r w:rsidRPr="00F4333B">
        <w:rPr>
          <w:i/>
        </w:rPr>
        <w:t>Don't</w:t>
      </w:r>
      <w:proofErr w:type="gramEnd"/>
      <w:r w:rsidRPr="00F4333B">
        <w:rPr>
          <w:i/>
        </w:rPr>
        <w:t xml:space="preserve"> know]</w:t>
      </w:r>
    </w:p>
    <w:p w14:paraId="057799CD" w14:textId="77777777" w:rsidR="00F4333B" w:rsidRDefault="00F4333B" w:rsidP="00F4333B">
      <w:r>
        <w:t>The 2012 YouGov survey (sponsored by the TUC) asks:</w:t>
      </w:r>
    </w:p>
    <w:p w14:paraId="58541268" w14:textId="77777777" w:rsidR="00F4333B" w:rsidRDefault="00F4333B" w:rsidP="00F4333B">
      <w:pPr>
        <w:ind w:left="720"/>
      </w:pPr>
      <w:r>
        <w:rPr>
          <w:rFonts w:ascii="Calibri" w:hAnsi="Calibri"/>
          <w:i/>
          <w:iCs/>
          <w:color w:val="000000"/>
          <w:szCs w:val="22"/>
        </w:rPr>
        <w:t xml:space="preserve">“The government’s welfare budget pays for pensions, tax credits, </w:t>
      </w:r>
      <w:proofErr w:type="gramStart"/>
      <w:r>
        <w:rPr>
          <w:rFonts w:ascii="Calibri" w:hAnsi="Calibri"/>
          <w:i/>
          <w:iCs/>
          <w:color w:val="000000"/>
          <w:szCs w:val="22"/>
        </w:rPr>
        <w:t>benefits</w:t>
      </w:r>
      <w:proofErr w:type="gramEnd"/>
      <w:r>
        <w:rPr>
          <w:rFonts w:ascii="Calibri" w:hAnsi="Calibri"/>
          <w:i/>
          <w:iCs/>
          <w:color w:val="000000"/>
          <w:szCs w:val="22"/>
        </w:rPr>
        <w:t xml:space="preserve"> for the unemployed, the disabled and other groups. Out of every £100 of this welfare budget, how much do you think is spent on benefits for the unemployed?   (For example, if you think that half of the budget is spent on benefits for unemployed people, </w:t>
      </w:r>
      <w:proofErr w:type="gramStart"/>
      <w:r>
        <w:rPr>
          <w:rFonts w:ascii="Calibri" w:hAnsi="Calibri"/>
          <w:i/>
          <w:iCs/>
          <w:color w:val="000000"/>
          <w:szCs w:val="22"/>
        </w:rPr>
        <w:t>then</w:t>
      </w:r>
      <w:proofErr w:type="gramEnd"/>
      <w:r>
        <w:rPr>
          <w:rFonts w:ascii="Calibri" w:hAnsi="Calibri"/>
          <w:i/>
          <w:iCs/>
          <w:color w:val="000000"/>
          <w:szCs w:val="22"/>
        </w:rPr>
        <w:t xml:space="preserve"> please write in ‘50’. Even if you are not sure, please just give your best guess and answer in whole numbers, you do not need to include the £ sign.)</w:t>
      </w:r>
    </w:p>
    <w:p w14:paraId="2C52FDD1" w14:textId="77777777" w:rsidR="00F4333B" w:rsidRDefault="00F4333B" w:rsidP="00F4333B">
      <w:pPr>
        <w:pStyle w:val="Heading4"/>
      </w:pPr>
      <w:r>
        <w:t>Costs/savings from specific policies</w:t>
      </w:r>
    </w:p>
    <w:p w14:paraId="06E01332" w14:textId="77777777" w:rsidR="00D26FBB" w:rsidRDefault="00D26FBB" w:rsidP="00D26FBB">
      <w:r>
        <w:t>The 2013 MORI survey (sponsored by the RSS and KCL) asks:</w:t>
      </w:r>
    </w:p>
    <w:p w14:paraId="5D4D1797" w14:textId="77777777" w:rsidR="00354F91" w:rsidRPr="00850FDC" w:rsidRDefault="00D26FBB" w:rsidP="00354F91">
      <w:pPr>
        <w:ind w:left="720"/>
        <w:rPr>
          <w:i/>
        </w:rPr>
      </w:pPr>
      <w:r w:rsidRPr="00850FDC">
        <w:rPr>
          <w:i/>
        </w:rPr>
        <w:lastRenderedPageBreak/>
        <w:t>“The government is looking for ways to save money… [</w:t>
      </w:r>
      <w:r w:rsidR="00354F91" w:rsidRPr="00850FDC">
        <w:rPr>
          <w:i/>
        </w:rPr>
        <w:t xml:space="preserve">Shows the list below, and then asks </w:t>
      </w:r>
      <w:r w:rsidRPr="00850FDC">
        <w:rPr>
          <w:i/>
        </w:rPr>
        <w:t xml:space="preserve">about which 2-3 </w:t>
      </w:r>
      <w:r w:rsidR="00354F91" w:rsidRPr="00850FDC">
        <w:rPr>
          <w:i/>
        </w:rPr>
        <w:t xml:space="preserve">policies </w:t>
      </w:r>
      <w:r w:rsidRPr="00850FDC">
        <w:rPr>
          <w:i/>
        </w:rPr>
        <w:t xml:space="preserve">they support the most]  </w:t>
      </w:r>
    </w:p>
    <w:p w14:paraId="718EDF0F" w14:textId="77777777" w:rsidR="00D26FBB" w:rsidRPr="00850FDC" w:rsidRDefault="00850FDC" w:rsidP="00354F91">
      <w:pPr>
        <w:ind w:left="720"/>
        <w:rPr>
          <w:i/>
        </w:rPr>
      </w:pPr>
      <w:r>
        <w:rPr>
          <w:i/>
        </w:rPr>
        <w:t>“</w:t>
      </w:r>
      <w:r w:rsidR="00D26FBB" w:rsidRPr="00850FDC">
        <w:rPr>
          <w:i/>
        </w:rPr>
        <w:t>And which one of the following do you think saves the most money?</w:t>
      </w:r>
      <w:r w:rsidR="00354F91" w:rsidRPr="00850FDC">
        <w:rPr>
          <w:i/>
        </w:rPr>
        <w:t xml:space="preserve">  </w:t>
      </w:r>
    </w:p>
    <w:p w14:paraId="11102F2C" w14:textId="77777777" w:rsidR="00354F91" w:rsidRPr="00850FDC" w:rsidRDefault="00850FDC" w:rsidP="00354F91">
      <w:pPr>
        <w:spacing w:after="0"/>
        <w:ind w:left="720"/>
        <w:rPr>
          <w:i/>
        </w:rPr>
      </w:pPr>
      <w:r>
        <w:rPr>
          <w:i/>
        </w:rPr>
        <w:t>“</w:t>
      </w:r>
      <w:r w:rsidR="00354F91" w:rsidRPr="00850FDC">
        <w:rPr>
          <w:i/>
        </w:rPr>
        <w:t>And which one of the following do you think saves the least money?</w:t>
      </w:r>
    </w:p>
    <w:p w14:paraId="34EE740A" w14:textId="77777777" w:rsidR="00D26FBB" w:rsidRPr="00850FDC" w:rsidRDefault="00D26FBB" w:rsidP="00D26FBB">
      <w:pPr>
        <w:spacing w:after="0"/>
        <w:ind w:left="1440"/>
        <w:rPr>
          <w:i/>
        </w:rPr>
      </w:pPr>
      <w:r w:rsidRPr="00850FDC">
        <w:rPr>
          <w:i/>
        </w:rPr>
        <w:t>Capping benefits at £26,000 per household</w:t>
      </w:r>
    </w:p>
    <w:p w14:paraId="3AE6814B" w14:textId="77777777" w:rsidR="00D26FBB" w:rsidRPr="00850FDC" w:rsidRDefault="00D26FBB" w:rsidP="00D26FBB">
      <w:pPr>
        <w:spacing w:after="0"/>
        <w:ind w:left="1440"/>
        <w:rPr>
          <w:i/>
        </w:rPr>
      </w:pPr>
      <w:r w:rsidRPr="00850FDC">
        <w:rPr>
          <w:i/>
        </w:rPr>
        <w:t xml:space="preserve">Raising the pension age to 66 for both men and women </w:t>
      </w:r>
    </w:p>
    <w:p w14:paraId="37FAF609" w14:textId="77777777" w:rsidR="00D26FBB" w:rsidRPr="00850FDC" w:rsidRDefault="00D26FBB" w:rsidP="00D26FBB">
      <w:pPr>
        <w:spacing w:after="0"/>
        <w:ind w:left="1440"/>
        <w:rPr>
          <w:i/>
        </w:rPr>
      </w:pPr>
      <w:r w:rsidRPr="00850FDC">
        <w:rPr>
          <w:i/>
        </w:rPr>
        <w:t>Stopping child benefit for any household where one parent earns more than £50,000</w:t>
      </w:r>
    </w:p>
    <w:p w14:paraId="31BD7E4E" w14:textId="77777777" w:rsidR="00D26FBB" w:rsidRPr="00850FDC" w:rsidRDefault="00D26FBB" w:rsidP="00D26FBB">
      <w:pPr>
        <w:spacing w:after="0"/>
        <w:ind w:left="1440"/>
        <w:rPr>
          <w:i/>
        </w:rPr>
      </w:pPr>
      <w:r w:rsidRPr="00850FDC">
        <w:rPr>
          <w:i/>
        </w:rPr>
        <w:t>Capping benefit rises for working age people at 1% per year</w:t>
      </w:r>
    </w:p>
    <w:p w14:paraId="4DA3314E" w14:textId="77777777" w:rsidR="00D26FBB" w:rsidRPr="00850FDC" w:rsidRDefault="00D26FBB" w:rsidP="00D26FBB">
      <w:pPr>
        <w:spacing w:after="0"/>
        <w:ind w:left="1440"/>
        <w:rPr>
          <w:i/>
        </w:rPr>
      </w:pPr>
      <w:r w:rsidRPr="00850FDC">
        <w:rPr>
          <w:i/>
        </w:rPr>
        <w:t>Stopping giving the winter fuel allowance to better-off pensioners</w:t>
      </w:r>
    </w:p>
    <w:p w14:paraId="08A7554E" w14:textId="77777777" w:rsidR="00D26FBB" w:rsidRPr="00850FDC" w:rsidRDefault="00D26FBB" w:rsidP="00D26FBB">
      <w:pPr>
        <w:spacing w:after="0"/>
        <w:ind w:left="1440"/>
        <w:rPr>
          <w:i/>
        </w:rPr>
      </w:pPr>
      <w:r w:rsidRPr="00850FDC">
        <w:rPr>
          <w:i/>
        </w:rPr>
        <w:t>Reduction in housing benefit for those with spare rooms (the “bedroom tax”)</w:t>
      </w:r>
    </w:p>
    <w:p w14:paraId="16804E41" w14:textId="77777777" w:rsidR="00D26FBB" w:rsidRPr="00850FDC" w:rsidRDefault="00D26FBB" w:rsidP="00D26FBB">
      <w:pPr>
        <w:spacing w:after="0"/>
        <w:ind w:left="1440"/>
        <w:rPr>
          <w:i/>
        </w:rPr>
      </w:pPr>
      <w:r w:rsidRPr="00850FDC">
        <w:rPr>
          <w:i/>
        </w:rPr>
        <w:t>Stopping free bus travel for better-off pensioners</w:t>
      </w:r>
    </w:p>
    <w:p w14:paraId="5346E0F0" w14:textId="77777777" w:rsidR="00D26FBB" w:rsidRPr="00850FDC" w:rsidRDefault="00D26FBB" w:rsidP="00D26FBB">
      <w:pPr>
        <w:spacing w:after="0"/>
        <w:ind w:left="1440"/>
        <w:rPr>
          <w:i/>
        </w:rPr>
      </w:pPr>
      <w:r w:rsidRPr="00850FDC">
        <w:rPr>
          <w:i/>
        </w:rPr>
        <w:t>Stopping free TV licenses for better-off pensioners</w:t>
      </w:r>
    </w:p>
    <w:p w14:paraId="61304268" w14:textId="77777777" w:rsidR="00D26FBB" w:rsidRPr="00850FDC" w:rsidRDefault="00D26FBB" w:rsidP="00D26FBB">
      <w:pPr>
        <w:spacing w:after="0"/>
        <w:ind w:left="1440"/>
        <w:rPr>
          <w:i/>
        </w:rPr>
      </w:pPr>
      <w:r w:rsidRPr="00850FDC">
        <w:rPr>
          <w:i/>
        </w:rPr>
        <w:t>None of these</w:t>
      </w:r>
    </w:p>
    <w:p w14:paraId="74244756" w14:textId="77777777" w:rsidR="00BD4E09" w:rsidRDefault="00D26FBB" w:rsidP="00354F91">
      <w:pPr>
        <w:ind w:left="1440"/>
        <w:rPr>
          <w:i/>
        </w:rPr>
      </w:pPr>
      <w:r w:rsidRPr="00850FDC">
        <w:rPr>
          <w:i/>
        </w:rPr>
        <w:t>Don’t know</w:t>
      </w:r>
      <w:r w:rsidR="00850FDC">
        <w:rPr>
          <w:i/>
        </w:rPr>
        <w:t>”</w:t>
      </w:r>
    </w:p>
    <w:p w14:paraId="6708EA24" w14:textId="77777777" w:rsidR="00205EB1" w:rsidRDefault="00205EB1" w:rsidP="00205EB1"/>
    <w:p w14:paraId="04F3AC97" w14:textId="4FF7BE1B" w:rsidR="00BD4E09" w:rsidRDefault="00BD4E09" w:rsidP="00BD4E09">
      <w:pPr>
        <w:pStyle w:val="Heading3"/>
      </w:pPr>
      <w:r>
        <w:t>Perceptions of levels of benefit claims among the working-age population</w:t>
      </w:r>
    </w:p>
    <w:p w14:paraId="3060F826" w14:textId="49E4A376" w:rsidR="00625FEC" w:rsidRDefault="00625FEC" w:rsidP="00625FEC">
      <w:pPr>
        <w:pStyle w:val="Heading4"/>
      </w:pPr>
      <w:r>
        <w:t>Unemployment claims</w:t>
      </w:r>
    </w:p>
    <w:p w14:paraId="4FB238A1" w14:textId="339762EB" w:rsidR="006C34B2" w:rsidRPr="006C34B2" w:rsidRDefault="006C34B2" w:rsidP="00625FEC">
      <w:r>
        <w:t xml:space="preserve">Note that only the first two questions ask about the rate of unemployment within the working-age </w:t>
      </w:r>
      <w:r>
        <w:rPr>
          <w:i/>
        </w:rPr>
        <w:t>population</w:t>
      </w:r>
      <w:r>
        <w:t xml:space="preserve">.  The final two questions ask about the ‘unemployment rate’, which is conventionally expressed as a share of the </w:t>
      </w:r>
      <w:r>
        <w:rPr>
          <w:i/>
        </w:rPr>
        <w:t>active</w:t>
      </w:r>
      <w:r>
        <w:t xml:space="preserve"> population – that is, it excludes the inactive population who are not looking for (and/or available for) work, many of whom having disabilities and/or caring responsibilities.</w:t>
      </w:r>
    </w:p>
    <w:p w14:paraId="42DD3AC0" w14:textId="033357F3" w:rsidR="006C34B2" w:rsidRDefault="006C34B2" w:rsidP="00625FEC">
      <w:r>
        <w:t>The 2008 ESS asks:</w:t>
      </w:r>
    </w:p>
    <w:p w14:paraId="36331D06" w14:textId="3653AE49" w:rsidR="006C34B2" w:rsidRPr="006C34B2" w:rsidRDefault="006C34B2" w:rsidP="006C34B2">
      <w:pPr>
        <w:ind w:left="720"/>
        <w:rPr>
          <w:i/>
        </w:rPr>
      </w:pPr>
      <w:r w:rsidRPr="006C34B2">
        <w:rPr>
          <w:i/>
        </w:rPr>
        <w:t xml:space="preserve">“Of every 100 people of working age in [country] how many would you say are unemployed and looking for work? Choose your answer from this card.  If you are not sure please give your best guess. </w:t>
      </w:r>
    </w:p>
    <w:p w14:paraId="59A22121" w14:textId="77777777" w:rsidR="006C34B2" w:rsidRDefault="006C34B2" w:rsidP="006C34B2">
      <w:pPr>
        <w:ind w:left="720"/>
        <w:rPr>
          <w:i/>
        </w:rPr>
      </w:pPr>
      <w:r w:rsidRPr="006C34B2">
        <w:rPr>
          <w:i/>
        </w:rPr>
        <w:t xml:space="preserve">[The response options are: </w:t>
      </w:r>
      <w:r>
        <w:rPr>
          <w:i/>
        </w:rPr>
        <w:t>“</w:t>
      </w:r>
      <w:r w:rsidRPr="006C34B2">
        <w:rPr>
          <w:i/>
        </w:rPr>
        <w:t>0-4 | 5-9 | 10-14 | 15-19 | 20-24 | 25-29 | 30-34 | 35-39 | 40-44 | 45-49 | 50 or more | (Don’t know)</w:t>
      </w:r>
      <w:r>
        <w:rPr>
          <w:i/>
        </w:rPr>
        <w:t>”</w:t>
      </w:r>
      <w:r w:rsidRPr="006C34B2">
        <w:rPr>
          <w:i/>
        </w:rPr>
        <w:t>]</w:t>
      </w:r>
    </w:p>
    <w:p w14:paraId="049CD15F" w14:textId="77777777" w:rsidR="006C34B2" w:rsidRDefault="006C34B2" w:rsidP="006C34B2">
      <w:r>
        <w:t xml:space="preserve">The 2013 </w:t>
      </w:r>
      <w:proofErr w:type="spellStart"/>
      <w:r>
        <w:t>Ipsos</w:t>
      </w:r>
      <w:proofErr w:type="spellEnd"/>
      <w:r>
        <w:t xml:space="preserve"> MORI survey (sponsored by the RSS and KCL) asks:</w:t>
      </w:r>
    </w:p>
    <w:p w14:paraId="0F18EE39" w14:textId="77777777" w:rsidR="006C34B2" w:rsidRPr="006C34B2" w:rsidRDefault="006C34B2" w:rsidP="006C34B2">
      <w:pPr>
        <w:ind w:left="720"/>
        <w:rPr>
          <w:i/>
        </w:rPr>
      </w:pPr>
      <w:r w:rsidRPr="006C34B2">
        <w:rPr>
          <w:rFonts w:ascii="Calibri" w:hAnsi="Calibri"/>
          <w:i/>
          <w:szCs w:val="22"/>
        </w:rPr>
        <w:t>“Out of every 100 people of working age in the UK, how many do you think are currently unemployed?”</w:t>
      </w:r>
    </w:p>
    <w:p w14:paraId="5B9EC775" w14:textId="19647938" w:rsidR="00625FEC" w:rsidRDefault="00625FEC" w:rsidP="00625FEC">
      <w:r>
        <w:t>The 2007 and 2009 Eurobarometer surveys ask:</w:t>
      </w:r>
    </w:p>
    <w:p w14:paraId="7556AE2A" w14:textId="35D45A19" w:rsidR="00625FEC" w:rsidRPr="00625FEC" w:rsidRDefault="00625FEC" w:rsidP="00625FEC">
      <w:pPr>
        <w:ind w:left="720"/>
        <w:rPr>
          <w:i/>
        </w:rPr>
      </w:pPr>
      <w:r w:rsidRPr="00625FEC">
        <w:rPr>
          <w:rFonts w:ascii="Calibri" w:hAnsi="Calibri"/>
          <w:i/>
          <w:color w:val="000000"/>
          <w:szCs w:val="22"/>
        </w:rPr>
        <w:t xml:space="preserve">"What was the official unemployment rate, the percentage of active people who do not have a job, in (OUR COUNTRY) in 2008? I can tell you that the exact </w:t>
      </w:r>
      <w:r>
        <w:rPr>
          <w:rFonts w:ascii="Calibri" w:hAnsi="Calibri"/>
          <w:i/>
          <w:color w:val="000000"/>
          <w:szCs w:val="22"/>
        </w:rPr>
        <w:t>figure is between 0% and 20%"</w:t>
      </w:r>
      <w:r w:rsidRPr="00625FEC">
        <w:rPr>
          <w:rFonts w:ascii="Calibri" w:hAnsi="Calibri"/>
          <w:i/>
          <w:color w:val="000000"/>
          <w:szCs w:val="22"/>
        </w:rPr>
        <w:t xml:space="preserve"> </w:t>
      </w:r>
    </w:p>
    <w:p w14:paraId="4EF03C50" w14:textId="0CEF2D36" w:rsidR="00625FEC" w:rsidRDefault="00625FEC" w:rsidP="00625FEC">
      <w:r>
        <w:t xml:space="preserve">The 2010 YouGov survey (reported by Curran et al) asks: </w:t>
      </w:r>
    </w:p>
    <w:p w14:paraId="1B6ABB2A" w14:textId="147D76CE" w:rsidR="00625FEC" w:rsidRPr="00625FEC" w:rsidRDefault="00625FEC" w:rsidP="00625FEC">
      <w:pPr>
        <w:ind w:left="720"/>
        <w:rPr>
          <w:i/>
        </w:rPr>
      </w:pPr>
      <w:r w:rsidRPr="00625FEC">
        <w:rPr>
          <w:i/>
        </w:rPr>
        <w:t xml:space="preserve">"The national unemployment rate in May was around… [Randomly reversed order, except for ‘Can’t say’]: 8 percent | 12 percent | 15 percent | 20 percent| </w:t>
      </w:r>
      <w:proofErr w:type="gramStart"/>
      <w:r w:rsidRPr="00625FEC">
        <w:rPr>
          <w:i/>
        </w:rPr>
        <w:t>Can't</w:t>
      </w:r>
      <w:proofErr w:type="gramEnd"/>
      <w:r w:rsidRPr="00625FEC">
        <w:rPr>
          <w:i/>
        </w:rPr>
        <w:t xml:space="preserve"> say</w:t>
      </w:r>
      <w:r>
        <w:rPr>
          <w:i/>
        </w:rPr>
        <w:t>”</w:t>
      </w:r>
      <w:r w:rsidRPr="00625FEC">
        <w:rPr>
          <w:i/>
        </w:rPr>
        <w:t xml:space="preserve"> </w:t>
      </w:r>
    </w:p>
    <w:p w14:paraId="19F8BE36" w14:textId="77777777" w:rsidR="006C34B2" w:rsidRDefault="006C34B2" w:rsidP="006C34B2">
      <w:pPr>
        <w:pStyle w:val="Heading4"/>
      </w:pPr>
      <w:r>
        <w:t>Sickness and disability claims</w:t>
      </w:r>
    </w:p>
    <w:p w14:paraId="76A5D463" w14:textId="77777777" w:rsidR="006C34B2" w:rsidRDefault="006C34B2" w:rsidP="006C34B2">
      <w:r>
        <w:t>The 2008 ESS asks:</w:t>
      </w:r>
    </w:p>
    <w:p w14:paraId="15E50A3F" w14:textId="52D1D1B3" w:rsidR="006C34B2" w:rsidRPr="006C34B2" w:rsidRDefault="006C34B2" w:rsidP="006C34B2">
      <w:pPr>
        <w:ind w:left="720"/>
        <w:rPr>
          <w:i/>
        </w:rPr>
      </w:pPr>
      <w:r>
        <w:rPr>
          <w:i/>
        </w:rPr>
        <w:t xml:space="preserve"> “</w:t>
      </w:r>
      <w:r w:rsidRPr="006C34B2">
        <w:rPr>
          <w:i/>
        </w:rPr>
        <w:t xml:space="preserve">And of every 100 people of working age in [country] how many would you say are long-term sick or disabled? </w:t>
      </w:r>
      <w:r>
        <w:rPr>
          <w:i/>
        </w:rPr>
        <w:t>“</w:t>
      </w:r>
    </w:p>
    <w:p w14:paraId="0EC6E277" w14:textId="77777777" w:rsidR="006C34B2" w:rsidRDefault="006C34B2" w:rsidP="006C34B2">
      <w:pPr>
        <w:ind w:left="720"/>
        <w:rPr>
          <w:i/>
        </w:rPr>
      </w:pPr>
      <w:r w:rsidRPr="006C34B2">
        <w:rPr>
          <w:i/>
        </w:rPr>
        <w:lastRenderedPageBreak/>
        <w:t xml:space="preserve">[The response options are: </w:t>
      </w:r>
      <w:r>
        <w:rPr>
          <w:i/>
        </w:rPr>
        <w:t>“</w:t>
      </w:r>
      <w:r w:rsidRPr="006C34B2">
        <w:rPr>
          <w:i/>
        </w:rPr>
        <w:t>0-4 | 5-9 | 10-14 | 15-19 | 20-24 | 25-29 | 30-34 | 35-39 | 40-44 | 45-49 | 50 or more | (Don’t know)</w:t>
      </w:r>
      <w:r>
        <w:rPr>
          <w:i/>
        </w:rPr>
        <w:t>”</w:t>
      </w:r>
      <w:r w:rsidRPr="006C34B2">
        <w:rPr>
          <w:i/>
        </w:rPr>
        <w:t>]</w:t>
      </w:r>
    </w:p>
    <w:p w14:paraId="131C909D" w14:textId="635FCA32" w:rsidR="00625FEC" w:rsidRPr="00625FEC" w:rsidRDefault="00625FEC" w:rsidP="00625FEC">
      <w:pPr>
        <w:pStyle w:val="Heading4"/>
      </w:pPr>
      <w:r>
        <w:t>Out-of-work benefit claims</w:t>
      </w:r>
    </w:p>
    <w:p w14:paraId="1F2CFBCC" w14:textId="189E13C9" w:rsidR="00625FEC" w:rsidRDefault="00625FEC" w:rsidP="00625FEC">
      <w:r>
        <w:t xml:space="preserve">The 2015 </w:t>
      </w:r>
      <w:proofErr w:type="spellStart"/>
      <w:r>
        <w:t>Ipsos</w:t>
      </w:r>
      <w:proofErr w:type="spellEnd"/>
      <w:r>
        <w:t xml:space="preserve"> MORI survey asks:</w:t>
      </w:r>
    </w:p>
    <w:p w14:paraId="53D0A28A" w14:textId="73F56439" w:rsidR="00625FEC" w:rsidRPr="00625FEC" w:rsidRDefault="00625FEC" w:rsidP="00625FEC">
      <w:pPr>
        <w:ind w:left="720"/>
        <w:rPr>
          <w:i/>
        </w:rPr>
      </w:pPr>
      <w:r w:rsidRPr="00625FEC">
        <w:rPr>
          <w:i/>
        </w:rPr>
        <w:t>“At present, out of every 100 people of working age, how many do you think are claiming out of work benefits?   By out of work benefits we mean benefits for people who are not in work because they are unemployed, disabled, carers or single parents.</w:t>
      </w:r>
      <w:r w:rsidRPr="00625FEC">
        <w:rPr>
          <w:i/>
        </w:rPr>
        <w:tab/>
      </w:r>
      <w:r w:rsidRPr="00625FEC">
        <w:rPr>
          <w:i/>
        </w:rPr>
        <w:tab/>
      </w:r>
    </w:p>
    <w:p w14:paraId="5313803B" w14:textId="7A535CD0" w:rsidR="00625FEC" w:rsidRDefault="00625FEC" w:rsidP="00625FEC">
      <w:pPr>
        <w:ind w:left="720"/>
        <w:rPr>
          <w:i/>
        </w:rPr>
      </w:pPr>
      <w:r w:rsidRPr="00625FEC">
        <w:rPr>
          <w:i/>
        </w:rPr>
        <w:t>“Fifteen years ago (the year 2000), out of every 100 people of working age, how many do you think were claiming out of work benefits then?”</w:t>
      </w:r>
    </w:p>
    <w:p w14:paraId="6B1C857B" w14:textId="4039AB81" w:rsidR="00625FEC" w:rsidRDefault="00625FEC" w:rsidP="00625FEC">
      <w:r>
        <w:t>The implied trend in out-of-work benefits receipt is calculated by subtracting the answer to the second question from the first (for those answering both questions).</w:t>
      </w:r>
    </w:p>
    <w:p w14:paraId="38B159FE" w14:textId="77777777" w:rsidR="008A774B" w:rsidRDefault="008A774B" w:rsidP="00625FEC"/>
    <w:p w14:paraId="06D627D0" w14:textId="0A723AB4" w:rsidR="008A774B" w:rsidRDefault="008A774B" w:rsidP="008A774B">
      <w:pPr>
        <w:pStyle w:val="Heading3"/>
      </w:pPr>
      <w:r>
        <w:t>Perceptions of the value of benefits</w:t>
      </w:r>
    </w:p>
    <w:p w14:paraId="49E2520B" w14:textId="7DACFCCF" w:rsidR="008A774B" w:rsidRDefault="002F17AA" w:rsidP="002F17AA">
      <w:pPr>
        <w:pStyle w:val="Heading4"/>
      </w:pPr>
      <w:r>
        <w:t>BSA recent series</w:t>
      </w:r>
    </w:p>
    <w:p w14:paraId="7748D120" w14:textId="0ED6E8C6" w:rsidR="002F17AA" w:rsidRDefault="002F17AA" w:rsidP="002F17AA">
      <w:r>
        <w:t>BSA includes a series of questions on people’s perceptions of the value of benefits, which all follow a common pattern.  Taking the example of the 2013 survey</w:t>
      </w:r>
      <w:r w:rsidR="009E40A3">
        <w:t xml:space="preserve"> (repeating a question also used in 1994, 1995, 2000 and 2013)</w:t>
      </w:r>
      <w:r>
        <w:t xml:space="preserve">, BSA first asks: </w:t>
      </w:r>
    </w:p>
    <w:p w14:paraId="05D182B7" w14:textId="073C4595" w:rsidR="002F17AA" w:rsidRDefault="002F17AA" w:rsidP="002F17AA">
      <w:pPr>
        <w:ind w:left="720"/>
      </w:pPr>
      <w:r>
        <w:rPr>
          <w:i/>
        </w:rPr>
        <w:t>“</w:t>
      </w:r>
      <w:r w:rsidRPr="002F17AA">
        <w:rPr>
          <w:i/>
        </w:rPr>
        <w:t xml:space="preserve">Think of a 25 year-old unemployed woman living alone. Her only income comes from state benefits. Would you say that she … has more than enough to live on </w:t>
      </w:r>
      <w:r w:rsidRPr="002F17AA">
        <w:t>| has enough to live on| is hard up | or, is really poor?</w:t>
      </w:r>
      <w:r>
        <w:t>”</w:t>
      </w:r>
    </w:p>
    <w:p w14:paraId="2AC672F1" w14:textId="1E05203A" w:rsidR="002F17AA" w:rsidRDefault="002F17AA" w:rsidP="002F17AA">
      <w:r>
        <w:t>This is then followed by a second question, in which they are told how much money the person would actually receive in state benefits:</w:t>
      </w:r>
    </w:p>
    <w:p w14:paraId="38F24F5F" w14:textId="1F18FCA9" w:rsidR="002F17AA" w:rsidRPr="002F17AA" w:rsidRDefault="002F17AA" w:rsidP="002F17AA">
      <w:pPr>
        <w:ind w:left="720"/>
        <w:rPr>
          <w:i/>
        </w:rPr>
      </w:pPr>
      <w:proofErr w:type="gramStart"/>
      <w:r>
        <w:rPr>
          <w:i/>
        </w:rPr>
        <w:t>“</w:t>
      </w:r>
      <w:r w:rsidRPr="002F17AA">
        <w:rPr>
          <w:i/>
        </w:rPr>
        <w:t>Now thinking again of that 25-year-old unemployed woman living alone.</w:t>
      </w:r>
      <w:proofErr w:type="gramEnd"/>
      <w:r w:rsidRPr="002F17AA">
        <w:rPr>
          <w:i/>
        </w:rPr>
        <w:t xml:space="preserve"> After rent, her income is £72 a week. Would you say that she… has more than enough to live on, has enough to live on, is hard up, or, is really poor?</w:t>
      </w:r>
      <w:r>
        <w:rPr>
          <w:i/>
        </w:rPr>
        <w:t>”</w:t>
      </w:r>
    </w:p>
    <w:p w14:paraId="3F8BB8FA" w14:textId="3CC0BC00" w:rsidR="002F17AA" w:rsidRDefault="002F17AA" w:rsidP="002F17AA">
      <w:r>
        <w:t>This question is repeated for the following groups of claimants:</w:t>
      </w:r>
    </w:p>
    <w:p w14:paraId="2E462232" w14:textId="40859A5C" w:rsidR="002F17AA" w:rsidRPr="002F17AA" w:rsidRDefault="002F17AA" w:rsidP="002F17AA">
      <w:pPr>
        <w:pStyle w:val="ListParagraph"/>
        <w:numPr>
          <w:ilvl w:val="0"/>
          <w:numId w:val="5"/>
        </w:numPr>
        <w:rPr>
          <w:i/>
        </w:rPr>
      </w:pPr>
      <w:r>
        <w:rPr>
          <w:i/>
        </w:rPr>
        <w:t>“…</w:t>
      </w:r>
      <w:r w:rsidRPr="002F17AA">
        <w:rPr>
          <w:i/>
        </w:rPr>
        <w:t>an unemployed single mother with a young child</w:t>
      </w:r>
      <w:r>
        <w:rPr>
          <w:i/>
        </w:rPr>
        <w:t xml:space="preserve">” </w:t>
      </w:r>
      <w:r>
        <w:t>(1994/1995/2000/2004/2008)</w:t>
      </w:r>
    </w:p>
    <w:p w14:paraId="492DAA23" w14:textId="04467E60" w:rsidR="002F17AA" w:rsidRPr="002F17AA" w:rsidRDefault="002F17AA" w:rsidP="002F17AA">
      <w:pPr>
        <w:pStyle w:val="ListParagraph"/>
        <w:numPr>
          <w:ilvl w:val="0"/>
          <w:numId w:val="5"/>
        </w:numPr>
        <w:rPr>
          <w:i/>
        </w:rPr>
      </w:pPr>
      <w:r>
        <w:rPr>
          <w:i/>
        </w:rPr>
        <w:t>“…</w:t>
      </w:r>
      <w:r w:rsidRPr="002F17AA">
        <w:rPr>
          <w:i/>
        </w:rPr>
        <w:t>a couple living together without children who are both unemployed</w:t>
      </w:r>
      <w:r>
        <w:rPr>
          <w:i/>
        </w:rPr>
        <w:t xml:space="preserve">” </w:t>
      </w:r>
      <w:r>
        <w:t xml:space="preserve">(2005 only).  An earlier version of this question asks about </w:t>
      </w:r>
      <w:r>
        <w:rPr>
          <w:i/>
        </w:rPr>
        <w:t>“a</w:t>
      </w:r>
      <w:r w:rsidRPr="002F17AA">
        <w:rPr>
          <w:i/>
        </w:rPr>
        <w:t xml:space="preserve"> married couple without children </w:t>
      </w:r>
      <w:r w:rsidR="009E3310">
        <w:rPr>
          <w:i/>
        </w:rPr>
        <w:t xml:space="preserve">[who] </w:t>
      </w:r>
      <w:r w:rsidRPr="002F17AA">
        <w:rPr>
          <w:i/>
        </w:rPr>
        <w:t>li</w:t>
      </w:r>
      <w:r>
        <w:rPr>
          <w:i/>
        </w:rPr>
        <w:t>ve only on unemployment benefit</w:t>
      </w:r>
      <w:r>
        <w:t>”</w:t>
      </w:r>
      <w:r w:rsidR="009E3310">
        <w:t>, and reverses the order of the response categories</w:t>
      </w:r>
      <w:r>
        <w:t xml:space="preserve"> (1998 only).</w:t>
      </w:r>
    </w:p>
    <w:p w14:paraId="427D7B0E" w14:textId="4E63DAEA" w:rsidR="002F17AA" w:rsidRPr="002F17AA" w:rsidRDefault="002F17AA" w:rsidP="002F17AA">
      <w:pPr>
        <w:pStyle w:val="ListParagraph"/>
        <w:numPr>
          <w:ilvl w:val="0"/>
          <w:numId w:val="5"/>
        </w:numPr>
        <w:rPr>
          <w:i/>
        </w:rPr>
      </w:pPr>
      <w:r>
        <w:rPr>
          <w:i/>
        </w:rPr>
        <w:t>“…</w:t>
      </w:r>
      <w:r w:rsidRPr="002F17AA">
        <w:rPr>
          <w:i/>
        </w:rPr>
        <w:t>a woman who can't work because she has to look after her husband or partner who has a long-term illness</w:t>
      </w:r>
      <w:r>
        <w:rPr>
          <w:i/>
        </w:rPr>
        <w:t xml:space="preserve">” </w:t>
      </w:r>
      <w:r>
        <w:t>(2005 only)</w:t>
      </w:r>
    </w:p>
    <w:p w14:paraId="24BA56BC" w14:textId="2C6BF06C" w:rsidR="002F17AA" w:rsidRPr="002F17AA" w:rsidRDefault="002F17AA" w:rsidP="002F17AA">
      <w:pPr>
        <w:pStyle w:val="ListParagraph"/>
        <w:numPr>
          <w:ilvl w:val="0"/>
          <w:numId w:val="5"/>
        </w:numPr>
        <w:rPr>
          <w:i/>
        </w:rPr>
      </w:pPr>
      <w:r>
        <w:rPr>
          <w:i/>
        </w:rPr>
        <w:t>“…</w:t>
      </w:r>
      <w:r w:rsidRPr="002F17AA">
        <w:rPr>
          <w:i/>
        </w:rPr>
        <w:t>a pensioner living alone. Her only income comes from the state pension and other benefits specially for pensioners</w:t>
      </w:r>
      <w:r>
        <w:rPr>
          <w:i/>
        </w:rPr>
        <w:t xml:space="preserve">” </w:t>
      </w:r>
      <w:r>
        <w:t>(2000/2004/2008)</w:t>
      </w:r>
    </w:p>
    <w:p w14:paraId="09E9883E" w14:textId="07BA53BB" w:rsidR="002F17AA" w:rsidRPr="002F17AA" w:rsidRDefault="002F17AA" w:rsidP="0011658C">
      <w:pPr>
        <w:pStyle w:val="ListParagraph"/>
        <w:numPr>
          <w:ilvl w:val="0"/>
          <w:numId w:val="5"/>
        </w:numPr>
        <w:rPr>
          <w:i/>
        </w:rPr>
      </w:pPr>
      <w:r w:rsidRPr="002F17AA">
        <w:rPr>
          <w:i/>
        </w:rPr>
        <w:t>“</w:t>
      </w:r>
      <w:r>
        <w:rPr>
          <w:i/>
        </w:rPr>
        <w:t>…</w:t>
      </w:r>
      <w:r w:rsidRPr="002F17AA">
        <w:rPr>
          <w:i/>
        </w:rPr>
        <w:t xml:space="preserve">a pensioner couple living together. Their only income comes from the state pension and other benefits </w:t>
      </w:r>
      <w:proofErr w:type="gramStart"/>
      <w:r w:rsidRPr="002F17AA">
        <w:rPr>
          <w:i/>
        </w:rPr>
        <w:t>specially</w:t>
      </w:r>
      <w:proofErr w:type="gramEnd"/>
      <w:r w:rsidRPr="002F17AA">
        <w:rPr>
          <w:i/>
        </w:rPr>
        <w:t xml:space="preserve"> for pensioners” </w:t>
      </w:r>
      <w:r>
        <w:t xml:space="preserve">(2005 only).  An earlier version of the question asks about </w:t>
      </w:r>
      <w:r w:rsidRPr="002F17AA">
        <w:rPr>
          <w:i/>
        </w:rPr>
        <w:t>“a married couple living only on the state pension”</w:t>
      </w:r>
      <w:r w:rsidR="009E3310">
        <w:t>, and reverses the order of the response categories</w:t>
      </w:r>
      <w:r w:rsidRPr="002F17AA">
        <w:rPr>
          <w:i/>
        </w:rPr>
        <w:t xml:space="preserve"> </w:t>
      </w:r>
      <w:r>
        <w:t>(1998 only).</w:t>
      </w:r>
    </w:p>
    <w:p w14:paraId="2501BBE3" w14:textId="4522A399" w:rsidR="002F17AA" w:rsidRPr="002F17AA" w:rsidRDefault="002F17AA" w:rsidP="002F17AA">
      <w:r>
        <w:t xml:space="preserve">The ‘true’ </w:t>
      </w:r>
      <w:proofErr w:type="gramStart"/>
      <w:r>
        <w:t>sums of money that claimants would receive is</w:t>
      </w:r>
      <w:proofErr w:type="gramEnd"/>
      <w:r>
        <w:t xml:space="preserve"> examined in Web Appendix 4 below.</w:t>
      </w:r>
    </w:p>
    <w:p w14:paraId="5F87F41E" w14:textId="6987F03B" w:rsidR="002F17AA" w:rsidRDefault="002F17AA" w:rsidP="002F17AA">
      <w:pPr>
        <w:pStyle w:val="Heading4"/>
      </w:pPr>
      <w:r>
        <w:t>BSA earlier series</w:t>
      </w:r>
    </w:p>
    <w:p w14:paraId="5CEAEC36" w14:textId="4C7AFA63" w:rsidR="002F17AA" w:rsidRDefault="002F17AA" w:rsidP="002F17AA">
      <w:r>
        <w:t xml:space="preserve">An earlier version of these questions </w:t>
      </w:r>
      <w:r w:rsidR="009E3310">
        <w:t xml:space="preserve">has a very similar wording, but the follow-up question instead asks: </w:t>
      </w:r>
    </w:p>
    <w:p w14:paraId="49658084" w14:textId="0FECBA78" w:rsidR="009E3310" w:rsidRDefault="009E3310" w:rsidP="009E3310">
      <w:pPr>
        <w:ind w:left="720"/>
        <w:rPr>
          <w:i/>
        </w:rPr>
      </w:pPr>
      <w:proofErr w:type="gramStart"/>
      <w:r>
        <w:rPr>
          <w:i/>
        </w:rPr>
        <w:lastRenderedPageBreak/>
        <w:t>“</w:t>
      </w:r>
      <w:r w:rsidRPr="009E3310">
        <w:rPr>
          <w:i/>
        </w:rPr>
        <w:t>Now thinking of a married couple without children living on £79 per week.</w:t>
      </w:r>
      <w:proofErr w:type="gramEnd"/>
      <w:r w:rsidRPr="009E3310">
        <w:rPr>
          <w:i/>
        </w:rPr>
        <w:t xml:space="preserve"> Would you say that they are ...really poor // hard up // have enough to live on // have more than enough?</w:t>
      </w:r>
      <w:r>
        <w:rPr>
          <w:i/>
        </w:rPr>
        <w:t>”</w:t>
      </w:r>
    </w:p>
    <w:p w14:paraId="4FDAB735" w14:textId="58D549C2" w:rsidR="004A13AF" w:rsidRDefault="004A13AF" w:rsidP="004A13AF">
      <w:r>
        <w:t>The main difference here is that respondents are NOT told that the £79/</w:t>
      </w:r>
      <w:proofErr w:type="spellStart"/>
      <w:r>
        <w:t>pw</w:t>
      </w:r>
      <w:proofErr w:type="spellEnd"/>
      <w:r>
        <w:t xml:space="preserve"> is after rent.  This makes a considerable difference to the results, as shown by a survey experiment in 1998 in which a random half of the sample was asked each question wording, shown in the table below.  For example, for the pensioner couple, 21.0% of people decided that people would be harder-up than they thought</w:t>
      </w:r>
      <w:r w:rsidR="00AB2C76">
        <w:t xml:space="preserve"> when they heard the true amount (‘under-estimated benefit’)</w:t>
      </w:r>
      <w:r>
        <w:t>, when the ‘true’ amount did not say that it was after rent.   When it was clarified that this was after rent, this rose to 38.5% of people.</w:t>
      </w:r>
    </w:p>
    <w:p w14:paraId="7F43414D" w14:textId="221B6285" w:rsidR="004A13AF" w:rsidRDefault="004A13AF" w:rsidP="004A13AF">
      <w:pPr>
        <w:pStyle w:val="Caption"/>
        <w:keepNext/>
        <w:spacing w:after="0"/>
      </w:pPr>
      <w:r>
        <w:t xml:space="preserve">Table </w:t>
      </w:r>
      <w:r w:rsidR="00797102">
        <w:fldChar w:fldCharType="begin"/>
      </w:r>
      <w:r w:rsidR="00797102">
        <w:instrText xml:space="preserve"> SEQ Table \* ARABIC </w:instrText>
      </w:r>
      <w:r w:rsidR="00797102">
        <w:fldChar w:fldCharType="separate"/>
      </w:r>
      <w:r w:rsidR="00D72F89">
        <w:rPr>
          <w:noProof/>
        </w:rPr>
        <w:t>2</w:t>
      </w:r>
      <w:r w:rsidR="00797102">
        <w:rPr>
          <w:noProof/>
        </w:rPr>
        <w:fldChar w:fldCharType="end"/>
      </w:r>
      <w:r>
        <w:t xml:space="preserve">: </w:t>
      </w:r>
      <w:r w:rsidR="00AB2C76">
        <w:t>Understanding</w:t>
      </w:r>
      <w:r>
        <w:t xml:space="preserve"> of level of benefits in 1998, </w:t>
      </w:r>
    </w:p>
    <w:p w14:paraId="0B8D2ADE" w14:textId="522D1172" w:rsidR="004A13AF" w:rsidRDefault="004A13AF" w:rsidP="004A13AF">
      <w:pPr>
        <w:pStyle w:val="Caption"/>
        <w:keepNext/>
      </w:pPr>
      <w:proofErr w:type="gramStart"/>
      <w:r>
        <w:t>when</w:t>
      </w:r>
      <w:proofErr w:type="gramEnd"/>
      <w:r>
        <w:t xml:space="preserve"> told vs. not told that benefit amount is ‘after rent’</w:t>
      </w:r>
    </w:p>
    <w:tbl>
      <w:tblPr>
        <w:tblW w:w="9140" w:type="dxa"/>
        <w:tblLook w:val="04A0" w:firstRow="1" w:lastRow="0" w:firstColumn="1" w:lastColumn="0" w:noHBand="0" w:noVBand="1"/>
      </w:tblPr>
      <w:tblGrid>
        <w:gridCol w:w="4322"/>
        <w:gridCol w:w="1138"/>
        <w:gridCol w:w="1138"/>
        <w:gridCol w:w="1000"/>
        <w:gridCol w:w="1000"/>
        <w:gridCol w:w="622"/>
      </w:tblGrid>
      <w:tr w:rsidR="004A13AF" w:rsidRPr="004A13AF" w14:paraId="3316EB83" w14:textId="77777777" w:rsidTr="004A13AF">
        <w:trPr>
          <w:trHeight w:val="876"/>
        </w:trPr>
        <w:tc>
          <w:tcPr>
            <w:tcW w:w="4400" w:type="dxa"/>
            <w:tcBorders>
              <w:top w:val="single" w:sz="4" w:space="0" w:color="auto"/>
              <w:left w:val="single" w:sz="4" w:space="0" w:color="auto"/>
              <w:bottom w:val="double" w:sz="6" w:space="0" w:color="auto"/>
              <w:right w:val="nil"/>
            </w:tcBorders>
            <w:shd w:val="clear" w:color="000000" w:fill="FFFFFF"/>
            <w:vAlign w:val="bottom"/>
            <w:hideMark/>
          </w:tcPr>
          <w:p w14:paraId="5F182EEC" w14:textId="77777777" w:rsidR="004A13AF" w:rsidRPr="004A13AF" w:rsidRDefault="004A13AF" w:rsidP="004A13AF">
            <w:pPr>
              <w:spacing w:after="0"/>
              <w:rPr>
                <w:rFonts w:ascii="Calibri" w:eastAsia="Times New Roman" w:hAnsi="Calibri" w:cs="Times New Roman"/>
                <w:b/>
                <w:bCs/>
                <w:color w:val="000000"/>
                <w:szCs w:val="22"/>
                <w:lang w:eastAsia="en-GB"/>
              </w:rPr>
            </w:pPr>
            <w:r w:rsidRPr="004A13AF">
              <w:rPr>
                <w:rFonts w:ascii="Calibri" w:eastAsia="Times New Roman" w:hAnsi="Calibri" w:cs="Times New Roman"/>
                <w:b/>
                <w:bCs/>
                <w:color w:val="000000"/>
                <w:szCs w:val="22"/>
                <w:lang w:eastAsia="en-GB"/>
              </w:rPr>
              <w:t>Perceived level of the benefit</w:t>
            </w:r>
            <w:r w:rsidRPr="004A13AF">
              <w:rPr>
                <w:rFonts w:ascii="Calibri" w:eastAsia="Times New Roman" w:hAnsi="Calibri" w:cs="Times New Roman"/>
                <w:b/>
                <w:bCs/>
                <w:color w:val="000000"/>
                <w:szCs w:val="22"/>
                <w:lang w:eastAsia="en-GB"/>
              </w:rPr>
              <w:br/>
              <w:t>(BSA, various years)</w:t>
            </w:r>
          </w:p>
        </w:tc>
        <w:tc>
          <w:tcPr>
            <w:tcW w:w="1060" w:type="dxa"/>
            <w:tcBorders>
              <w:top w:val="single" w:sz="4" w:space="0" w:color="auto"/>
              <w:left w:val="nil"/>
              <w:bottom w:val="double" w:sz="6" w:space="0" w:color="auto"/>
              <w:right w:val="nil"/>
            </w:tcBorders>
            <w:shd w:val="clear" w:color="000000" w:fill="FFFFFF"/>
            <w:vAlign w:val="center"/>
            <w:hideMark/>
          </w:tcPr>
          <w:p w14:paraId="3DCD0F97" w14:textId="77777777" w:rsidR="004A13AF" w:rsidRPr="004A13AF" w:rsidRDefault="004A13AF" w:rsidP="004A13AF">
            <w:pPr>
              <w:spacing w:after="0"/>
              <w:jc w:val="center"/>
              <w:rPr>
                <w:rFonts w:ascii="Calibri" w:eastAsia="Times New Roman" w:hAnsi="Calibri" w:cs="Times New Roman"/>
                <w:b/>
                <w:bCs/>
                <w:color w:val="000000"/>
                <w:szCs w:val="22"/>
                <w:lang w:eastAsia="en-GB"/>
              </w:rPr>
            </w:pPr>
            <w:r w:rsidRPr="004A13AF">
              <w:rPr>
                <w:rFonts w:ascii="Calibri" w:eastAsia="Times New Roman" w:hAnsi="Calibri" w:cs="Times New Roman"/>
                <w:b/>
                <w:bCs/>
                <w:color w:val="000000"/>
                <w:szCs w:val="22"/>
                <w:lang w:eastAsia="en-GB"/>
              </w:rPr>
              <w:t>Under-estimated benefit</w:t>
            </w:r>
          </w:p>
        </w:tc>
        <w:tc>
          <w:tcPr>
            <w:tcW w:w="1060" w:type="dxa"/>
            <w:tcBorders>
              <w:top w:val="single" w:sz="4" w:space="0" w:color="auto"/>
              <w:left w:val="nil"/>
              <w:bottom w:val="double" w:sz="6" w:space="0" w:color="auto"/>
              <w:right w:val="nil"/>
            </w:tcBorders>
            <w:shd w:val="clear" w:color="000000" w:fill="FFFFFF"/>
            <w:vAlign w:val="center"/>
            <w:hideMark/>
          </w:tcPr>
          <w:p w14:paraId="7EDBF75B" w14:textId="77777777" w:rsidR="004A13AF" w:rsidRPr="004A13AF" w:rsidRDefault="004A13AF" w:rsidP="004A13AF">
            <w:pPr>
              <w:spacing w:after="0"/>
              <w:jc w:val="center"/>
              <w:rPr>
                <w:rFonts w:ascii="Calibri" w:eastAsia="Times New Roman" w:hAnsi="Calibri" w:cs="Times New Roman"/>
                <w:b/>
                <w:bCs/>
                <w:color w:val="000000"/>
                <w:szCs w:val="22"/>
                <w:lang w:eastAsia="en-GB"/>
              </w:rPr>
            </w:pPr>
            <w:r w:rsidRPr="004A13AF">
              <w:rPr>
                <w:rFonts w:ascii="Calibri" w:eastAsia="Times New Roman" w:hAnsi="Calibri" w:cs="Times New Roman"/>
                <w:b/>
                <w:bCs/>
                <w:color w:val="000000"/>
                <w:szCs w:val="22"/>
                <w:lang w:eastAsia="en-GB"/>
              </w:rPr>
              <w:t>Over-estimated benefit</w:t>
            </w:r>
          </w:p>
        </w:tc>
        <w:tc>
          <w:tcPr>
            <w:tcW w:w="1000" w:type="dxa"/>
            <w:tcBorders>
              <w:top w:val="single" w:sz="4" w:space="0" w:color="auto"/>
              <w:left w:val="nil"/>
              <w:bottom w:val="double" w:sz="6" w:space="0" w:color="auto"/>
              <w:right w:val="nil"/>
            </w:tcBorders>
            <w:shd w:val="clear" w:color="000000" w:fill="FFFFFF"/>
            <w:vAlign w:val="center"/>
            <w:hideMark/>
          </w:tcPr>
          <w:p w14:paraId="57AD66A7" w14:textId="77777777" w:rsidR="004A13AF" w:rsidRPr="004A13AF" w:rsidRDefault="004A13AF" w:rsidP="004A13AF">
            <w:pPr>
              <w:spacing w:after="0"/>
              <w:jc w:val="center"/>
              <w:rPr>
                <w:rFonts w:ascii="Calibri" w:eastAsia="Times New Roman" w:hAnsi="Calibri" w:cs="Times New Roman"/>
                <w:b/>
                <w:bCs/>
                <w:color w:val="000000"/>
                <w:szCs w:val="22"/>
                <w:lang w:eastAsia="en-GB"/>
              </w:rPr>
            </w:pPr>
            <w:r w:rsidRPr="004A13AF">
              <w:rPr>
                <w:rFonts w:ascii="Calibri" w:eastAsia="Times New Roman" w:hAnsi="Calibri" w:cs="Times New Roman"/>
                <w:b/>
                <w:bCs/>
                <w:color w:val="000000"/>
                <w:szCs w:val="22"/>
                <w:lang w:eastAsia="en-GB"/>
              </w:rPr>
              <w:t xml:space="preserve">No </w:t>
            </w:r>
            <w:r w:rsidRPr="004A13AF">
              <w:rPr>
                <w:rFonts w:ascii="Calibri" w:eastAsia="Times New Roman" w:hAnsi="Calibri" w:cs="Times New Roman"/>
                <w:b/>
                <w:bCs/>
                <w:color w:val="000000"/>
                <w:szCs w:val="22"/>
                <w:lang w:eastAsia="en-GB"/>
              </w:rPr>
              <w:br/>
              <w:t>change</w:t>
            </w:r>
          </w:p>
        </w:tc>
        <w:tc>
          <w:tcPr>
            <w:tcW w:w="1000" w:type="dxa"/>
            <w:tcBorders>
              <w:top w:val="single" w:sz="4" w:space="0" w:color="auto"/>
              <w:left w:val="nil"/>
              <w:bottom w:val="double" w:sz="6" w:space="0" w:color="auto"/>
              <w:right w:val="single" w:sz="4" w:space="0" w:color="auto"/>
            </w:tcBorders>
            <w:shd w:val="clear" w:color="000000" w:fill="FFFFFF"/>
            <w:vAlign w:val="center"/>
            <w:hideMark/>
          </w:tcPr>
          <w:p w14:paraId="3247F39A" w14:textId="77777777" w:rsidR="004A13AF" w:rsidRPr="004A13AF" w:rsidRDefault="004A13AF" w:rsidP="004A13AF">
            <w:pPr>
              <w:spacing w:after="0"/>
              <w:jc w:val="center"/>
              <w:rPr>
                <w:rFonts w:ascii="Calibri" w:eastAsia="Times New Roman" w:hAnsi="Calibri" w:cs="Times New Roman"/>
                <w:b/>
                <w:bCs/>
                <w:color w:val="000000"/>
                <w:szCs w:val="22"/>
                <w:lang w:eastAsia="en-GB"/>
              </w:rPr>
            </w:pPr>
            <w:r w:rsidRPr="004A13AF">
              <w:rPr>
                <w:rFonts w:ascii="Calibri" w:eastAsia="Times New Roman" w:hAnsi="Calibri" w:cs="Times New Roman"/>
                <w:b/>
                <w:bCs/>
                <w:color w:val="000000"/>
                <w:szCs w:val="22"/>
                <w:lang w:eastAsia="en-GB"/>
              </w:rPr>
              <w:t xml:space="preserve">Don't </w:t>
            </w:r>
            <w:r w:rsidRPr="004A13AF">
              <w:rPr>
                <w:rFonts w:ascii="Calibri" w:eastAsia="Times New Roman" w:hAnsi="Calibri" w:cs="Times New Roman"/>
                <w:b/>
                <w:bCs/>
                <w:color w:val="000000"/>
                <w:szCs w:val="22"/>
                <w:lang w:eastAsia="en-GB"/>
              </w:rPr>
              <w:br/>
              <w:t>know</w:t>
            </w:r>
          </w:p>
        </w:tc>
        <w:tc>
          <w:tcPr>
            <w:tcW w:w="620" w:type="dxa"/>
            <w:tcBorders>
              <w:top w:val="single" w:sz="4" w:space="0" w:color="auto"/>
              <w:left w:val="nil"/>
              <w:bottom w:val="double" w:sz="6" w:space="0" w:color="auto"/>
              <w:right w:val="single" w:sz="4" w:space="0" w:color="auto"/>
            </w:tcBorders>
            <w:shd w:val="clear" w:color="000000" w:fill="FFFFFF"/>
            <w:vAlign w:val="center"/>
            <w:hideMark/>
          </w:tcPr>
          <w:p w14:paraId="0D593A1C" w14:textId="77777777" w:rsidR="004A13AF" w:rsidRPr="004A13AF" w:rsidRDefault="004A13AF" w:rsidP="004A13AF">
            <w:pPr>
              <w:spacing w:after="0"/>
              <w:jc w:val="center"/>
              <w:rPr>
                <w:rFonts w:ascii="Calibri" w:eastAsia="Times New Roman" w:hAnsi="Calibri" w:cs="Times New Roman"/>
                <w:b/>
                <w:bCs/>
                <w:i/>
                <w:iCs/>
                <w:color w:val="000000"/>
                <w:sz w:val="20"/>
                <w:szCs w:val="20"/>
                <w:lang w:eastAsia="en-GB"/>
              </w:rPr>
            </w:pPr>
            <w:r w:rsidRPr="004A13AF">
              <w:rPr>
                <w:rFonts w:ascii="Calibri" w:eastAsia="Times New Roman" w:hAnsi="Calibri" w:cs="Times New Roman"/>
                <w:b/>
                <w:bCs/>
                <w:i/>
                <w:iCs/>
                <w:color w:val="000000"/>
                <w:sz w:val="20"/>
                <w:szCs w:val="20"/>
                <w:lang w:eastAsia="en-GB"/>
              </w:rPr>
              <w:t>n</w:t>
            </w:r>
          </w:p>
        </w:tc>
      </w:tr>
      <w:tr w:rsidR="004A13AF" w:rsidRPr="004A13AF" w14:paraId="0A534A7C" w14:textId="77777777" w:rsidTr="004A13AF">
        <w:trPr>
          <w:trHeight w:val="300"/>
        </w:trPr>
        <w:tc>
          <w:tcPr>
            <w:tcW w:w="4400" w:type="dxa"/>
            <w:tcBorders>
              <w:top w:val="nil"/>
              <w:left w:val="single" w:sz="4" w:space="0" w:color="auto"/>
              <w:bottom w:val="nil"/>
              <w:right w:val="nil"/>
            </w:tcBorders>
            <w:shd w:val="clear" w:color="000000" w:fill="FFFFFF"/>
            <w:vAlign w:val="bottom"/>
            <w:hideMark/>
          </w:tcPr>
          <w:p w14:paraId="1155C1EE" w14:textId="77777777" w:rsidR="004A13AF" w:rsidRPr="004A13AF" w:rsidRDefault="004A13AF" w:rsidP="004A13AF">
            <w:pPr>
              <w:spacing w:after="0"/>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Pensioner couple on £103, 1998</w:t>
            </w:r>
          </w:p>
        </w:tc>
        <w:tc>
          <w:tcPr>
            <w:tcW w:w="1060" w:type="dxa"/>
            <w:tcBorders>
              <w:top w:val="nil"/>
              <w:left w:val="nil"/>
              <w:bottom w:val="nil"/>
              <w:right w:val="nil"/>
            </w:tcBorders>
            <w:shd w:val="clear" w:color="000000" w:fill="FFFFFF"/>
            <w:noWrap/>
            <w:vAlign w:val="bottom"/>
            <w:hideMark/>
          </w:tcPr>
          <w:p w14:paraId="21FD89ED"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21.0%</w:t>
            </w:r>
          </w:p>
        </w:tc>
        <w:tc>
          <w:tcPr>
            <w:tcW w:w="1060" w:type="dxa"/>
            <w:tcBorders>
              <w:top w:val="nil"/>
              <w:left w:val="nil"/>
              <w:bottom w:val="nil"/>
              <w:right w:val="nil"/>
            </w:tcBorders>
            <w:shd w:val="clear" w:color="000000" w:fill="FFFFFF"/>
            <w:noWrap/>
            <w:vAlign w:val="bottom"/>
            <w:hideMark/>
          </w:tcPr>
          <w:p w14:paraId="16A100FF"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17.9%</w:t>
            </w:r>
          </w:p>
        </w:tc>
        <w:tc>
          <w:tcPr>
            <w:tcW w:w="1000" w:type="dxa"/>
            <w:tcBorders>
              <w:top w:val="nil"/>
              <w:left w:val="nil"/>
              <w:bottom w:val="nil"/>
              <w:right w:val="nil"/>
            </w:tcBorders>
            <w:shd w:val="clear" w:color="000000" w:fill="FFFFFF"/>
            <w:noWrap/>
            <w:vAlign w:val="bottom"/>
            <w:hideMark/>
          </w:tcPr>
          <w:p w14:paraId="39AFFD72"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56.5%</w:t>
            </w:r>
          </w:p>
        </w:tc>
        <w:tc>
          <w:tcPr>
            <w:tcW w:w="1000" w:type="dxa"/>
            <w:tcBorders>
              <w:top w:val="nil"/>
              <w:left w:val="nil"/>
              <w:bottom w:val="nil"/>
              <w:right w:val="single" w:sz="4" w:space="0" w:color="auto"/>
            </w:tcBorders>
            <w:shd w:val="clear" w:color="000000" w:fill="FFFFFF"/>
            <w:noWrap/>
            <w:vAlign w:val="bottom"/>
            <w:hideMark/>
          </w:tcPr>
          <w:p w14:paraId="2F9ACAD8"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4.6%</w:t>
            </w:r>
          </w:p>
        </w:tc>
        <w:tc>
          <w:tcPr>
            <w:tcW w:w="620" w:type="dxa"/>
            <w:tcBorders>
              <w:top w:val="nil"/>
              <w:left w:val="nil"/>
              <w:bottom w:val="nil"/>
              <w:right w:val="single" w:sz="4" w:space="0" w:color="auto"/>
            </w:tcBorders>
            <w:shd w:val="clear" w:color="000000" w:fill="FFFFFF"/>
            <w:noWrap/>
            <w:vAlign w:val="bottom"/>
            <w:hideMark/>
          </w:tcPr>
          <w:p w14:paraId="60647E6F" w14:textId="77777777" w:rsidR="004A13AF" w:rsidRPr="004A13AF" w:rsidRDefault="004A13AF" w:rsidP="004A13AF">
            <w:pPr>
              <w:spacing w:after="0"/>
              <w:jc w:val="right"/>
              <w:rPr>
                <w:rFonts w:ascii="Calibri" w:eastAsia="Times New Roman" w:hAnsi="Calibri" w:cs="Times New Roman"/>
                <w:i/>
                <w:iCs/>
                <w:color w:val="000000"/>
                <w:sz w:val="20"/>
                <w:szCs w:val="20"/>
                <w:lang w:eastAsia="en-GB"/>
              </w:rPr>
            </w:pPr>
            <w:r w:rsidRPr="004A13AF">
              <w:rPr>
                <w:rFonts w:ascii="Calibri" w:eastAsia="Times New Roman" w:hAnsi="Calibri" w:cs="Times New Roman"/>
                <w:i/>
                <w:iCs/>
                <w:color w:val="000000"/>
                <w:sz w:val="20"/>
                <w:szCs w:val="20"/>
                <w:lang w:eastAsia="en-GB"/>
              </w:rPr>
              <w:t>1543</w:t>
            </w:r>
          </w:p>
        </w:tc>
      </w:tr>
      <w:tr w:rsidR="004A13AF" w:rsidRPr="004A13AF" w14:paraId="3EFB8B51" w14:textId="77777777" w:rsidTr="004A13AF">
        <w:trPr>
          <w:trHeight w:val="288"/>
        </w:trPr>
        <w:tc>
          <w:tcPr>
            <w:tcW w:w="4400" w:type="dxa"/>
            <w:tcBorders>
              <w:top w:val="nil"/>
              <w:left w:val="single" w:sz="4" w:space="0" w:color="auto"/>
              <w:bottom w:val="single" w:sz="4" w:space="0" w:color="auto"/>
              <w:right w:val="nil"/>
            </w:tcBorders>
            <w:shd w:val="clear" w:color="000000" w:fill="FFFFFF"/>
            <w:vAlign w:val="bottom"/>
            <w:hideMark/>
          </w:tcPr>
          <w:p w14:paraId="385D2893" w14:textId="77777777" w:rsidR="004A13AF" w:rsidRPr="004A13AF" w:rsidRDefault="004A13AF" w:rsidP="004A13AF">
            <w:pPr>
              <w:spacing w:after="0"/>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Pensioner couple on £103, 1998*</w:t>
            </w:r>
          </w:p>
        </w:tc>
        <w:tc>
          <w:tcPr>
            <w:tcW w:w="1060" w:type="dxa"/>
            <w:tcBorders>
              <w:top w:val="nil"/>
              <w:left w:val="nil"/>
              <w:bottom w:val="single" w:sz="4" w:space="0" w:color="auto"/>
              <w:right w:val="nil"/>
            </w:tcBorders>
            <w:shd w:val="clear" w:color="000000" w:fill="FFFFFF"/>
            <w:noWrap/>
            <w:vAlign w:val="bottom"/>
            <w:hideMark/>
          </w:tcPr>
          <w:p w14:paraId="68EA6BB6"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38.5%</w:t>
            </w:r>
          </w:p>
        </w:tc>
        <w:tc>
          <w:tcPr>
            <w:tcW w:w="1060" w:type="dxa"/>
            <w:tcBorders>
              <w:top w:val="nil"/>
              <w:left w:val="nil"/>
              <w:bottom w:val="single" w:sz="4" w:space="0" w:color="auto"/>
              <w:right w:val="nil"/>
            </w:tcBorders>
            <w:shd w:val="clear" w:color="000000" w:fill="FFFFFF"/>
            <w:noWrap/>
            <w:vAlign w:val="bottom"/>
            <w:hideMark/>
          </w:tcPr>
          <w:p w14:paraId="04331CEE"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9.6%</w:t>
            </w:r>
          </w:p>
        </w:tc>
        <w:tc>
          <w:tcPr>
            <w:tcW w:w="1000" w:type="dxa"/>
            <w:tcBorders>
              <w:top w:val="nil"/>
              <w:left w:val="nil"/>
              <w:bottom w:val="single" w:sz="4" w:space="0" w:color="auto"/>
              <w:right w:val="nil"/>
            </w:tcBorders>
            <w:shd w:val="clear" w:color="000000" w:fill="FFFFFF"/>
            <w:noWrap/>
            <w:vAlign w:val="bottom"/>
            <w:hideMark/>
          </w:tcPr>
          <w:p w14:paraId="37E99AF2"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48.3%</w:t>
            </w:r>
          </w:p>
        </w:tc>
        <w:tc>
          <w:tcPr>
            <w:tcW w:w="1000" w:type="dxa"/>
            <w:tcBorders>
              <w:top w:val="nil"/>
              <w:left w:val="nil"/>
              <w:bottom w:val="single" w:sz="4" w:space="0" w:color="auto"/>
              <w:right w:val="single" w:sz="4" w:space="0" w:color="auto"/>
            </w:tcBorders>
            <w:shd w:val="clear" w:color="000000" w:fill="FFFFFF"/>
            <w:noWrap/>
            <w:vAlign w:val="bottom"/>
            <w:hideMark/>
          </w:tcPr>
          <w:p w14:paraId="17EA1081"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3.7%</w:t>
            </w:r>
          </w:p>
        </w:tc>
        <w:tc>
          <w:tcPr>
            <w:tcW w:w="620" w:type="dxa"/>
            <w:tcBorders>
              <w:top w:val="nil"/>
              <w:left w:val="nil"/>
              <w:bottom w:val="single" w:sz="4" w:space="0" w:color="auto"/>
              <w:right w:val="single" w:sz="4" w:space="0" w:color="auto"/>
            </w:tcBorders>
            <w:shd w:val="clear" w:color="000000" w:fill="FFFFFF"/>
            <w:noWrap/>
            <w:vAlign w:val="bottom"/>
            <w:hideMark/>
          </w:tcPr>
          <w:p w14:paraId="0987EF7F" w14:textId="77777777" w:rsidR="004A13AF" w:rsidRPr="004A13AF" w:rsidRDefault="004A13AF" w:rsidP="004A13AF">
            <w:pPr>
              <w:spacing w:after="0"/>
              <w:jc w:val="right"/>
              <w:rPr>
                <w:rFonts w:ascii="Calibri" w:eastAsia="Times New Roman" w:hAnsi="Calibri" w:cs="Times New Roman"/>
                <w:i/>
                <w:iCs/>
                <w:color w:val="000000"/>
                <w:sz w:val="20"/>
                <w:szCs w:val="20"/>
                <w:lang w:eastAsia="en-GB"/>
              </w:rPr>
            </w:pPr>
            <w:r w:rsidRPr="004A13AF">
              <w:rPr>
                <w:rFonts w:ascii="Calibri" w:eastAsia="Times New Roman" w:hAnsi="Calibri" w:cs="Times New Roman"/>
                <w:i/>
                <w:iCs/>
                <w:color w:val="000000"/>
                <w:sz w:val="20"/>
                <w:szCs w:val="20"/>
                <w:lang w:eastAsia="en-GB"/>
              </w:rPr>
              <w:t>1573</w:t>
            </w:r>
          </w:p>
        </w:tc>
      </w:tr>
      <w:tr w:rsidR="004A13AF" w:rsidRPr="004A13AF" w14:paraId="20ACE46F" w14:textId="77777777" w:rsidTr="004A13AF">
        <w:trPr>
          <w:trHeight w:val="288"/>
        </w:trPr>
        <w:tc>
          <w:tcPr>
            <w:tcW w:w="4400" w:type="dxa"/>
            <w:tcBorders>
              <w:top w:val="nil"/>
              <w:left w:val="single" w:sz="4" w:space="0" w:color="auto"/>
              <w:bottom w:val="nil"/>
              <w:right w:val="nil"/>
            </w:tcBorders>
            <w:shd w:val="clear" w:color="000000" w:fill="FFFFFF"/>
            <w:vAlign w:val="bottom"/>
            <w:hideMark/>
          </w:tcPr>
          <w:p w14:paraId="531C7466" w14:textId="77777777" w:rsidR="004A13AF" w:rsidRPr="004A13AF" w:rsidRDefault="004A13AF" w:rsidP="004A13AF">
            <w:pPr>
              <w:spacing w:after="0"/>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Unemployed couple w/o kids on £79, 1998</w:t>
            </w:r>
          </w:p>
        </w:tc>
        <w:tc>
          <w:tcPr>
            <w:tcW w:w="1060" w:type="dxa"/>
            <w:tcBorders>
              <w:top w:val="nil"/>
              <w:left w:val="nil"/>
              <w:bottom w:val="nil"/>
              <w:right w:val="nil"/>
            </w:tcBorders>
            <w:shd w:val="clear" w:color="000000" w:fill="FFFFFF"/>
            <w:noWrap/>
            <w:vAlign w:val="bottom"/>
            <w:hideMark/>
          </w:tcPr>
          <w:p w14:paraId="05AA3BF5"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5.0%</w:t>
            </w:r>
          </w:p>
        </w:tc>
        <w:tc>
          <w:tcPr>
            <w:tcW w:w="1060" w:type="dxa"/>
            <w:tcBorders>
              <w:top w:val="nil"/>
              <w:left w:val="nil"/>
              <w:bottom w:val="nil"/>
              <w:right w:val="nil"/>
            </w:tcBorders>
            <w:shd w:val="clear" w:color="000000" w:fill="FFFFFF"/>
            <w:noWrap/>
            <w:vAlign w:val="bottom"/>
            <w:hideMark/>
          </w:tcPr>
          <w:p w14:paraId="6ECAE3BE"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49.8%</w:t>
            </w:r>
          </w:p>
        </w:tc>
        <w:tc>
          <w:tcPr>
            <w:tcW w:w="1000" w:type="dxa"/>
            <w:tcBorders>
              <w:top w:val="nil"/>
              <w:left w:val="nil"/>
              <w:bottom w:val="nil"/>
              <w:right w:val="nil"/>
            </w:tcBorders>
            <w:shd w:val="clear" w:color="000000" w:fill="FFFFFF"/>
            <w:noWrap/>
            <w:vAlign w:val="bottom"/>
            <w:hideMark/>
          </w:tcPr>
          <w:p w14:paraId="788FE3A2"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37.1%</w:t>
            </w:r>
          </w:p>
        </w:tc>
        <w:tc>
          <w:tcPr>
            <w:tcW w:w="1000" w:type="dxa"/>
            <w:tcBorders>
              <w:top w:val="nil"/>
              <w:left w:val="nil"/>
              <w:bottom w:val="nil"/>
              <w:right w:val="single" w:sz="4" w:space="0" w:color="auto"/>
            </w:tcBorders>
            <w:shd w:val="clear" w:color="000000" w:fill="FFFFFF"/>
            <w:noWrap/>
            <w:vAlign w:val="bottom"/>
            <w:hideMark/>
          </w:tcPr>
          <w:p w14:paraId="431CC88B"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8.1%</w:t>
            </w:r>
          </w:p>
        </w:tc>
        <w:tc>
          <w:tcPr>
            <w:tcW w:w="620" w:type="dxa"/>
            <w:tcBorders>
              <w:top w:val="nil"/>
              <w:left w:val="nil"/>
              <w:bottom w:val="nil"/>
              <w:right w:val="single" w:sz="4" w:space="0" w:color="auto"/>
            </w:tcBorders>
            <w:shd w:val="clear" w:color="000000" w:fill="FFFFFF"/>
            <w:noWrap/>
            <w:vAlign w:val="bottom"/>
            <w:hideMark/>
          </w:tcPr>
          <w:p w14:paraId="42465EBA" w14:textId="77777777" w:rsidR="004A13AF" w:rsidRPr="004A13AF" w:rsidRDefault="004A13AF" w:rsidP="004A13AF">
            <w:pPr>
              <w:spacing w:after="0"/>
              <w:jc w:val="right"/>
              <w:rPr>
                <w:rFonts w:ascii="Calibri" w:eastAsia="Times New Roman" w:hAnsi="Calibri" w:cs="Times New Roman"/>
                <w:i/>
                <w:iCs/>
                <w:color w:val="000000"/>
                <w:sz w:val="20"/>
                <w:szCs w:val="20"/>
                <w:lang w:eastAsia="en-GB"/>
              </w:rPr>
            </w:pPr>
            <w:r w:rsidRPr="004A13AF">
              <w:rPr>
                <w:rFonts w:ascii="Calibri" w:eastAsia="Times New Roman" w:hAnsi="Calibri" w:cs="Times New Roman"/>
                <w:i/>
                <w:iCs/>
                <w:color w:val="000000"/>
                <w:sz w:val="20"/>
                <w:szCs w:val="20"/>
                <w:lang w:eastAsia="en-GB"/>
              </w:rPr>
              <w:t>1550</w:t>
            </w:r>
          </w:p>
        </w:tc>
      </w:tr>
      <w:tr w:rsidR="004A13AF" w:rsidRPr="004A13AF" w14:paraId="6836FDA5" w14:textId="77777777" w:rsidTr="004A13AF">
        <w:trPr>
          <w:trHeight w:val="288"/>
        </w:trPr>
        <w:tc>
          <w:tcPr>
            <w:tcW w:w="4400" w:type="dxa"/>
            <w:tcBorders>
              <w:top w:val="nil"/>
              <w:left w:val="single" w:sz="4" w:space="0" w:color="auto"/>
              <w:bottom w:val="single" w:sz="4" w:space="0" w:color="auto"/>
              <w:right w:val="nil"/>
            </w:tcBorders>
            <w:shd w:val="clear" w:color="000000" w:fill="FFFFFF"/>
            <w:vAlign w:val="bottom"/>
            <w:hideMark/>
          </w:tcPr>
          <w:p w14:paraId="23C42827" w14:textId="77777777" w:rsidR="004A13AF" w:rsidRPr="004A13AF" w:rsidRDefault="004A13AF" w:rsidP="004A13AF">
            <w:pPr>
              <w:spacing w:after="0"/>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Unemployed couple w/o kids on £79, 1998*</w:t>
            </w:r>
          </w:p>
        </w:tc>
        <w:tc>
          <w:tcPr>
            <w:tcW w:w="1060" w:type="dxa"/>
            <w:tcBorders>
              <w:top w:val="nil"/>
              <w:left w:val="nil"/>
              <w:bottom w:val="single" w:sz="4" w:space="0" w:color="auto"/>
              <w:right w:val="nil"/>
            </w:tcBorders>
            <w:shd w:val="clear" w:color="000000" w:fill="FFFFFF"/>
            <w:noWrap/>
            <w:vAlign w:val="bottom"/>
            <w:hideMark/>
          </w:tcPr>
          <w:p w14:paraId="374531FE"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10.1%</w:t>
            </w:r>
          </w:p>
        </w:tc>
        <w:tc>
          <w:tcPr>
            <w:tcW w:w="1060" w:type="dxa"/>
            <w:tcBorders>
              <w:top w:val="nil"/>
              <w:left w:val="nil"/>
              <w:bottom w:val="single" w:sz="4" w:space="0" w:color="auto"/>
              <w:right w:val="nil"/>
            </w:tcBorders>
            <w:shd w:val="clear" w:color="000000" w:fill="FFFFFF"/>
            <w:noWrap/>
            <w:vAlign w:val="bottom"/>
            <w:hideMark/>
          </w:tcPr>
          <w:p w14:paraId="749B9E3C"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37.2%</w:t>
            </w:r>
          </w:p>
        </w:tc>
        <w:tc>
          <w:tcPr>
            <w:tcW w:w="1000" w:type="dxa"/>
            <w:tcBorders>
              <w:top w:val="nil"/>
              <w:left w:val="nil"/>
              <w:bottom w:val="single" w:sz="4" w:space="0" w:color="auto"/>
              <w:right w:val="nil"/>
            </w:tcBorders>
            <w:shd w:val="clear" w:color="000000" w:fill="FFFFFF"/>
            <w:noWrap/>
            <w:vAlign w:val="bottom"/>
            <w:hideMark/>
          </w:tcPr>
          <w:p w14:paraId="11125025"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45.1%</w:t>
            </w:r>
          </w:p>
        </w:tc>
        <w:tc>
          <w:tcPr>
            <w:tcW w:w="1000" w:type="dxa"/>
            <w:tcBorders>
              <w:top w:val="nil"/>
              <w:left w:val="nil"/>
              <w:bottom w:val="single" w:sz="4" w:space="0" w:color="auto"/>
              <w:right w:val="single" w:sz="4" w:space="0" w:color="auto"/>
            </w:tcBorders>
            <w:shd w:val="clear" w:color="000000" w:fill="FFFFFF"/>
            <w:noWrap/>
            <w:vAlign w:val="bottom"/>
            <w:hideMark/>
          </w:tcPr>
          <w:p w14:paraId="06996819" w14:textId="77777777" w:rsidR="004A13AF" w:rsidRPr="004A13AF" w:rsidRDefault="004A13AF" w:rsidP="004A13AF">
            <w:pPr>
              <w:spacing w:after="0"/>
              <w:jc w:val="right"/>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7.5%</w:t>
            </w:r>
          </w:p>
        </w:tc>
        <w:tc>
          <w:tcPr>
            <w:tcW w:w="620" w:type="dxa"/>
            <w:tcBorders>
              <w:top w:val="nil"/>
              <w:left w:val="nil"/>
              <w:bottom w:val="single" w:sz="4" w:space="0" w:color="auto"/>
              <w:right w:val="single" w:sz="4" w:space="0" w:color="auto"/>
            </w:tcBorders>
            <w:shd w:val="clear" w:color="000000" w:fill="FFFFFF"/>
            <w:noWrap/>
            <w:vAlign w:val="bottom"/>
            <w:hideMark/>
          </w:tcPr>
          <w:p w14:paraId="463B3397" w14:textId="77777777" w:rsidR="004A13AF" w:rsidRPr="004A13AF" w:rsidRDefault="004A13AF" w:rsidP="004A13AF">
            <w:pPr>
              <w:spacing w:after="0"/>
              <w:jc w:val="right"/>
              <w:rPr>
                <w:rFonts w:ascii="Calibri" w:eastAsia="Times New Roman" w:hAnsi="Calibri" w:cs="Times New Roman"/>
                <w:i/>
                <w:iCs/>
                <w:color w:val="000000"/>
                <w:sz w:val="20"/>
                <w:szCs w:val="20"/>
                <w:lang w:eastAsia="en-GB"/>
              </w:rPr>
            </w:pPr>
            <w:r w:rsidRPr="004A13AF">
              <w:rPr>
                <w:rFonts w:ascii="Calibri" w:eastAsia="Times New Roman" w:hAnsi="Calibri" w:cs="Times New Roman"/>
                <w:i/>
                <w:iCs/>
                <w:color w:val="000000"/>
                <w:sz w:val="20"/>
                <w:szCs w:val="20"/>
                <w:lang w:eastAsia="en-GB"/>
              </w:rPr>
              <w:t>1569</w:t>
            </w:r>
          </w:p>
        </w:tc>
      </w:tr>
      <w:tr w:rsidR="004A13AF" w:rsidRPr="004A13AF" w14:paraId="4DAC4A4A" w14:textId="77777777" w:rsidTr="004A13AF">
        <w:trPr>
          <w:trHeight w:val="288"/>
        </w:trPr>
        <w:tc>
          <w:tcPr>
            <w:tcW w:w="5460" w:type="dxa"/>
            <w:gridSpan w:val="2"/>
            <w:tcBorders>
              <w:top w:val="nil"/>
              <w:left w:val="nil"/>
              <w:bottom w:val="nil"/>
              <w:right w:val="nil"/>
            </w:tcBorders>
            <w:shd w:val="clear" w:color="auto" w:fill="auto"/>
            <w:noWrap/>
            <w:vAlign w:val="bottom"/>
            <w:hideMark/>
          </w:tcPr>
          <w:p w14:paraId="20ADA252" w14:textId="77777777" w:rsidR="004A13AF" w:rsidRPr="004A13AF" w:rsidRDefault="004A13AF" w:rsidP="004A13AF">
            <w:pPr>
              <w:spacing w:after="0"/>
              <w:rPr>
                <w:rFonts w:ascii="Calibri" w:eastAsia="Times New Roman" w:hAnsi="Calibri" w:cs="Times New Roman"/>
                <w:color w:val="000000"/>
                <w:szCs w:val="22"/>
                <w:lang w:eastAsia="en-GB"/>
              </w:rPr>
            </w:pPr>
            <w:r w:rsidRPr="004A13AF">
              <w:rPr>
                <w:rFonts w:ascii="Calibri" w:eastAsia="Times New Roman" w:hAnsi="Calibri" w:cs="Times New Roman"/>
                <w:color w:val="000000"/>
                <w:szCs w:val="22"/>
                <w:lang w:eastAsia="en-GB"/>
              </w:rPr>
              <w:t>* = explicitly mentions that benefit amount is 'after rent'</w:t>
            </w:r>
          </w:p>
        </w:tc>
        <w:tc>
          <w:tcPr>
            <w:tcW w:w="1060" w:type="dxa"/>
            <w:tcBorders>
              <w:top w:val="nil"/>
              <w:left w:val="nil"/>
              <w:bottom w:val="nil"/>
              <w:right w:val="nil"/>
            </w:tcBorders>
            <w:shd w:val="clear" w:color="auto" w:fill="auto"/>
            <w:noWrap/>
            <w:vAlign w:val="bottom"/>
            <w:hideMark/>
          </w:tcPr>
          <w:p w14:paraId="4038F589" w14:textId="77777777" w:rsidR="004A13AF" w:rsidRPr="004A13AF" w:rsidRDefault="004A13AF" w:rsidP="004A13AF">
            <w:pPr>
              <w:spacing w:after="0"/>
              <w:rPr>
                <w:rFonts w:ascii="Calibri" w:eastAsia="Times New Roman" w:hAnsi="Calibri" w:cs="Times New Roman"/>
                <w:color w:val="000000"/>
                <w:szCs w:val="22"/>
                <w:lang w:eastAsia="en-GB"/>
              </w:rPr>
            </w:pPr>
          </w:p>
        </w:tc>
        <w:tc>
          <w:tcPr>
            <w:tcW w:w="1000" w:type="dxa"/>
            <w:tcBorders>
              <w:top w:val="nil"/>
              <w:left w:val="nil"/>
              <w:bottom w:val="nil"/>
              <w:right w:val="nil"/>
            </w:tcBorders>
            <w:shd w:val="clear" w:color="auto" w:fill="auto"/>
            <w:noWrap/>
            <w:vAlign w:val="bottom"/>
            <w:hideMark/>
          </w:tcPr>
          <w:p w14:paraId="64306920" w14:textId="77777777" w:rsidR="004A13AF" w:rsidRPr="004A13AF" w:rsidRDefault="004A13AF" w:rsidP="004A13AF">
            <w:pPr>
              <w:spacing w:after="0"/>
              <w:rPr>
                <w:rFonts w:ascii="Times New Roman" w:eastAsia="Times New Roman" w:hAnsi="Times New Roman" w:cs="Times New Roman"/>
                <w:sz w:val="20"/>
                <w:szCs w:val="20"/>
                <w:lang w:eastAsia="en-GB"/>
              </w:rPr>
            </w:pPr>
          </w:p>
        </w:tc>
        <w:tc>
          <w:tcPr>
            <w:tcW w:w="1000" w:type="dxa"/>
            <w:tcBorders>
              <w:top w:val="nil"/>
              <w:left w:val="nil"/>
              <w:bottom w:val="nil"/>
              <w:right w:val="nil"/>
            </w:tcBorders>
            <w:shd w:val="clear" w:color="auto" w:fill="auto"/>
            <w:noWrap/>
            <w:vAlign w:val="bottom"/>
            <w:hideMark/>
          </w:tcPr>
          <w:p w14:paraId="303DE118" w14:textId="77777777" w:rsidR="004A13AF" w:rsidRPr="004A13AF" w:rsidRDefault="004A13AF" w:rsidP="004A13AF">
            <w:pPr>
              <w:spacing w:after="0"/>
              <w:rPr>
                <w:rFonts w:ascii="Times New Roman" w:eastAsia="Times New Roman" w:hAnsi="Times New Roman" w:cs="Times New Roman"/>
                <w:sz w:val="20"/>
                <w:szCs w:val="20"/>
                <w:lang w:eastAsia="en-GB"/>
              </w:rPr>
            </w:pPr>
          </w:p>
        </w:tc>
        <w:tc>
          <w:tcPr>
            <w:tcW w:w="620" w:type="dxa"/>
            <w:tcBorders>
              <w:top w:val="nil"/>
              <w:left w:val="nil"/>
              <w:bottom w:val="nil"/>
              <w:right w:val="nil"/>
            </w:tcBorders>
            <w:shd w:val="clear" w:color="auto" w:fill="auto"/>
            <w:noWrap/>
            <w:vAlign w:val="bottom"/>
            <w:hideMark/>
          </w:tcPr>
          <w:p w14:paraId="50F121D8" w14:textId="77777777" w:rsidR="004A13AF" w:rsidRPr="004A13AF" w:rsidRDefault="004A13AF" w:rsidP="004A13AF">
            <w:pPr>
              <w:spacing w:after="0"/>
              <w:rPr>
                <w:rFonts w:ascii="Times New Roman" w:eastAsia="Times New Roman" w:hAnsi="Times New Roman" w:cs="Times New Roman"/>
                <w:sz w:val="20"/>
                <w:szCs w:val="20"/>
                <w:lang w:eastAsia="en-GB"/>
              </w:rPr>
            </w:pPr>
          </w:p>
        </w:tc>
      </w:tr>
    </w:tbl>
    <w:p w14:paraId="430DB0BC" w14:textId="77777777" w:rsidR="004A13AF" w:rsidRDefault="004A13AF" w:rsidP="004A13AF"/>
    <w:p w14:paraId="6409B04E" w14:textId="5DEC0B4D" w:rsidR="00AB2C76" w:rsidRDefault="00AB2C76" w:rsidP="004A13AF">
      <w:r>
        <w:t>For this reason, the earlier questions are not regarded as comparable to the later questions, and are not presented in the main chapter.  For completeness, though, the earlier series are presented in the following table:</w:t>
      </w:r>
    </w:p>
    <w:p w14:paraId="7DF8997C" w14:textId="4FB7811D" w:rsidR="00AB2C76" w:rsidRDefault="00AB2C76" w:rsidP="00AB2C76">
      <w:pPr>
        <w:pStyle w:val="Caption"/>
        <w:keepNext/>
        <w:spacing w:after="0"/>
      </w:pPr>
      <w:r>
        <w:t xml:space="preserve">Table </w:t>
      </w:r>
      <w:r w:rsidR="00797102">
        <w:fldChar w:fldCharType="begin"/>
      </w:r>
      <w:r w:rsidR="00797102">
        <w:instrText xml:space="preserve"> SEQ Table \* ARABIC </w:instrText>
      </w:r>
      <w:r w:rsidR="00797102">
        <w:fldChar w:fldCharType="separate"/>
      </w:r>
      <w:r w:rsidR="00D72F89">
        <w:rPr>
          <w:noProof/>
        </w:rPr>
        <w:t>3</w:t>
      </w:r>
      <w:r w:rsidR="00797102">
        <w:rPr>
          <w:noProof/>
        </w:rPr>
        <w:fldChar w:fldCharType="end"/>
      </w:r>
      <w:r>
        <w:t xml:space="preserve">: Understanding of level of benefits, </w:t>
      </w:r>
    </w:p>
    <w:p w14:paraId="45251C50" w14:textId="4DE10D47" w:rsidR="00AB2C76" w:rsidRDefault="00AB2C76" w:rsidP="00AB2C76">
      <w:pPr>
        <w:pStyle w:val="Caption"/>
        <w:keepNext/>
      </w:pPr>
      <w:proofErr w:type="gramStart"/>
      <w:r>
        <w:t>when</w:t>
      </w:r>
      <w:proofErr w:type="gramEnd"/>
      <w:r>
        <w:t xml:space="preserve"> not told that benefit amount is ‘after rent’</w:t>
      </w:r>
    </w:p>
    <w:tbl>
      <w:tblPr>
        <w:tblW w:w="9140" w:type="dxa"/>
        <w:tblLook w:val="04A0" w:firstRow="1" w:lastRow="0" w:firstColumn="1" w:lastColumn="0" w:noHBand="0" w:noVBand="1"/>
      </w:tblPr>
      <w:tblGrid>
        <w:gridCol w:w="4242"/>
        <w:gridCol w:w="1138"/>
        <w:gridCol w:w="1138"/>
        <w:gridCol w:w="1000"/>
        <w:gridCol w:w="1000"/>
        <w:gridCol w:w="622"/>
      </w:tblGrid>
      <w:tr w:rsidR="00AB2C76" w:rsidRPr="00AB2C76" w14:paraId="449A4E19" w14:textId="77777777" w:rsidTr="00AB2C76">
        <w:trPr>
          <w:trHeight w:val="876"/>
        </w:trPr>
        <w:tc>
          <w:tcPr>
            <w:tcW w:w="4242" w:type="dxa"/>
            <w:tcBorders>
              <w:top w:val="single" w:sz="4" w:space="0" w:color="auto"/>
              <w:left w:val="single" w:sz="4" w:space="0" w:color="auto"/>
              <w:bottom w:val="double" w:sz="6" w:space="0" w:color="auto"/>
              <w:right w:val="nil"/>
            </w:tcBorders>
            <w:shd w:val="clear" w:color="000000" w:fill="FFFFFF"/>
            <w:vAlign w:val="bottom"/>
            <w:hideMark/>
          </w:tcPr>
          <w:p w14:paraId="4F40C76B" w14:textId="4DC72B2B" w:rsidR="00AB2C76" w:rsidRPr="00AB2C76" w:rsidRDefault="00AB2C76" w:rsidP="00AB2C76">
            <w:pPr>
              <w:spacing w:after="0"/>
              <w:rPr>
                <w:rFonts w:ascii="Calibri" w:eastAsia="Times New Roman" w:hAnsi="Calibri" w:cs="Times New Roman"/>
                <w:b/>
                <w:bCs/>
                <w:color w:val="000000"/>
                <w:szCs w:val="22"/>
                <w:lang w:eastAsia="en-GB"/>
              </w:rPr>
            </w:pPr>
            <w:r w:rsidRPr="00AB2C76">
              <w:rPr>
                <w:rFonts w:ascii="Calibri" w:eastAsia="Times New Roman" w:hAnsi="Calibri" w:cs="Times New Roman"/>
                <w:b/>
                <w:bCs/>
                <w:color w:val="000000"/>
                <w:szCs w:val="22"/>
                <w:lang w:eastAsia="en-GB"/>
              </w:rPr>
              <w:t>Perceived level of the benefit</w:t>
            </w:r>
            <w:r w:rsidRPr="00AB2C76">
              <w:rPr>
                <w:rFonts w:ascii="Calibri" w:eastAsia="Times New Roman" w:hAnsi="Calibri" w:cs="Times New Roman"/>
                <w:b/>
                <w:bCs/>
                <w:color w:val="000000"/>
                <w:szCs w:val="22"/>
                <w:lang w:eastAsia="en-GB"/>
              </w:rPr>
              <w:br/>
              <w:t>(BSA, various years)</w:t>
            </w:r>
          </w:p>
        </w:tc>
        <w:tc>
          <w:tcPr>
            <w:tcW w:w="1138" w:type="dxa"/>
            <w:tcBorders>
              <w:top w:val="single" w:sz="4" w:space="0" w:color="auto"/>
              <w:left w:val="nil"/>
              <w:bottom w:val="double" w:sz="6" w:space="0" w:color="auto"/>
              <w:right w:val="nil"/>
            </w:tcBorders>
            <w:shd w:val="clear" w:color="000000" w:fill="FFFFFF"/>
            <w:vAlign w:val="center"/>
            <w:hideMark/>
          </w:tcPr>
          <w:p w14:paraId="032F265F" w14:textId="77777777" w:rsidR="00AB2C76" w:rsidRPr="00AB2C76" w:rsidRDefault="00AB2C76" w:rsidP="00AB2C76">
            <w:pPr>
              <w:spacing w:after="0"/>
              <w:jc w:val="center"/>
              <w:rPr>
                <w:rFonts w:ascii="Calibri" w:eastAsia="Times New Roman" w:hAnsi="Calibri" w:cs="Times New Roman"/>
                <w:b/>
                <w:bCs/>
                <w:color w:val="000000"/>
                <w:szCs w:val="22"/>
                <w:lang w:eastAsia="en-GB"/>
              </w:rPr>
            </w:pPr>
            <w:r w:rsidRPr="00AB2C76">
              <w:rPr>
                <w:rFonts w:ascii="Calibri" w:eastAsia="Times New Roman" w:hAnsi="Calibri" w:cs="Times New Roman"/>
                <w:b/>
                <w:bCs/>
                <w:color w:val="000000"/>
                <w:szCs w:val="22"/>
                <w:lang w:eastAsia="en-GB"/>
              </w:rPr>
              <w:t>Under-estimated benefit</w:t>
            </w:r>
          </w:p>
        </w:tc>
        <w:tc>
          <w:tcPr>
            <w:tcW w:w="1138" w:type="dxa"/>
            <w:tcBorders>
              <w:top w:val="single" w:sz="4" w:space="0" w:color="auto"/>
              <w:left w:val="nil"/>
              <w:bottom w:val="double" w:sz="6" w:space="0" w:color="auto"/>
              <w:right w:val="nil"/>
            </w:tcBorders>
            <w:shd w:val="clear" w:color="000000" w:fill="FFFFFF"/>
            <w:vAlign w:val="center"/>
            <w:hideMark/>
          </w:tcPr>
          <w:p w14:paraId="42DFBD77" w14:textId="77777777" w:rsidR="00AB2C76" w:rsidRPr="00AB2C76" w:rsidRDefault="00AB2C76" w:rsidP="00AB2C76">
            <w:pPr>
              <w:spacing w:after="0"/>
              <w:jc w:val="center"/>
              <w:rPr>
                <w:rFonts w:ascii="Calibri" w:eastAsia="Times New Roman" w:hAnsi="Calibri" w:cs="Times New Roman"/>
                <w:b/>
                <w:bCs/>
                <w:color w:val="000000"/>
                <w:szCs w:val="22"/>
                <w:lang w:eastAsia="en-GB"/>
              </w:rPr>
            </w:pPr>
            <w:r w:rsidRPr="00AB2C76">
              <w:rPr>
                <w:rFonts w:ascii="Calibri" w:eastAsia="Times New Roman" w:hAnsi="Calibri" w:cs="Times New Roman"/>
                <w:b/>
                <w:bCs/>
                <w:color w:val="000000"/>
                <w:szCs w:val="22"/>
                <w:lang w:eastAsia="en-GB"/>
              </w:rPr>
              <w:t>Over-estimated benefit</w:t>
            </w:r>
          </w:p>
        </w:tc>
        <w:tc>
          <w:tcPr>
            <w:tcW w:w="1000" w:type="dxa"/>
            <w:tcBorders>
              <w:top w:val="single" w:sz="4" w:space="0" w:color="auto"/>
              <w:left w:val="nil"/>
              <w:bottom w:val="double" w:sz="6" w:space="0" w:color="auto"/>
              <w:right w:val="nil"/>
            </w:tcBorders>
            <w:shd w:val="clear" w:color="000000" w:fill="FFFFFF"/>
            <w:vAlign w:val="center"/>
            <w:hideMark/>
          </w:tcPr>
          <w:p w14:paraId="1C74457E" w14:textId="77777777" w:rsidR="00AB2C76" w:rsidRPr="00AB2C76" w:rsidRDefault="00AB2C76" w:rsidP="00AB2C76">
            <w:pPr>
              <w:spacing w:after="0"/>
              <w:jc w:val="center"/>
              <w:rPr>
                <w:rFonts w:ascii="Calibri" w:eastAsia="Times New Roman" w:hAnsi="Calibri" w:cs="Times New Roman"/>
                <w:b/>
                <w:bCs/>
                <w:color w:val="000000"/>
                <w:szCs w:val="22"/>
                <w:lang w:eastAsia="en-GB"/>
              </w:rPr>
            </w:pPr>
            <w:r w:rsidRPr="00AB2C76">
              <w:rPr>
                <w:rFonts w:ascii="Calibri" w:eastAsia="Times New Roman" w:hAnsi="Calibri" w:cs="Times New Roman"/>
                <w:b/>
                <w:bCs/>
                <w:color w:val="000000"/>
                <w:szCs w:val="22"/>
                <w:lang w:eastAsia="en-GB"/>
              </w:rPr>
              <w:t xml:space="preserve">No </w:t>
            </w:r>
            <w:r w:rsidRPr="00AB2C76">
              <w:rPr>
                <w:rFonts w:ascii="Calibri" w:eastAsia="Times New Roman" w:hAnsi="Calibri" w:cs="Times New Roman"/>
                <w:b/>
                <w:bCs/>
                <w:color w:val="000000"/>
                <w:szCs w:val="22"/>
                <w:lang w:eastAsia="en-GB"/>
              </w:rPr>
              <w:br/>
              <w:t>change</w:t>
            </w:r>
          </w:p>
        </w:tc>
        <w:tc>
          <w:tcPr>
            <w:tcW w:w="1000" w:type="dxa"/>
            <w:tcBorders>
              <w:top w:val="single" w:sz="4" w:space="0" w:color="auto"/>
              <w:left w:val="nil"/>
              <w:bottom w:val="double" w:sz="6" w:space="0" w:color="auto"/>
              <w:right w:val="single" w:sz="4" w:space="0" w:color="auto"/>
            </w:tcBorders>
            <w:shd w:val="clear" w:color="000000" w:fill="FFFFFF"/>
            <w:vAlign w:val="center"/>
            <w:hideMark/>
          </w:tcPr>
          <w:p w14:paraId="339AB34A" w14:textId="77777777" w:rsidR="00AB2C76" w:rsidRPr="00AB2C76" w:rsidRDefault="00AB2C76" w:rsidP="00AB2C76">
            <w:pPr>
              <w:spacing w:after="0"/>
              <w:jc w:val="center"/>
              <w:rPr>
                <w:rFonts w:ascii="Calibri" w:eastAsia="Times New Roman" w:hAnsi="Calibri" w:cs="Times New Roman"/>
                <w:b/>
                <w:bCs/>
                <w:color w:val="000000"/>
                <w:szCs w:val="22"/>
                <w:lang w:eastAsia="en-GB"/>
              </w:rPr>
            </w:pPr>
            <w:r w:rsidRPr="00AB2C76">
              <w:rPr>
                <w:rFonts w:ascii="Calibri" w:eastAsia="Times New Roman" w:hAnsi="Calibri" w:cs="Times New Roman"/>
                <w:b/>
                <w:bCs/>
                <w:color w:val="000000"/>
                <w:szCs w:val="22"/>
                <w:lang w:eastAsia="en-GB"/>
              </w:rPr>
              <w:t xml:space="preserve">Don't </w:t>
            </w:r>
            <w:r w:rsidRPr="00AB2C76">
              <w:rPr>
                <w:rFonts w:ascii="Calibri" w:eastAsia="Times New Roman" w:hAnsi="Calibri" w:cs="Times New Roman"/>
                <w:b/>
                <w:bCs/>
                <w:color w:val="000000"/>
                <w:szCs w:val="22"/>
                <w:lang w:eastAsia="en-GB"/>
              </w:rPr>
              <w:br/>
              <w:t>know</w:t>
            </w:r>
          </w:p>
        </w:tc>
        <w:tc>
          <w:tcPr>
            <w:tcW w:w="622" w:type="dxa"/>
            <w:tcBorders>
              <w:top w:val="single" w:sz="4" w:space="0" w:color="auto"/>
              <w:left w:val="nil"/>
              <w:bottom w:val="double" w:sz="6" w:space="0" w:color="auto"/>
              <w:right w:val="single" w:sz="4" w:space="0" w:color="auto"/>
            </w:tcBorders>
            <w:shd w:val="clear" w:color="000000" w:fill="FFFFFF"/>
            <w:vAlign w:val="center"/>
            <w:hideMark/>
          </w:tcPr>
          <w:p w14:paraId="50DCE06B" w14:textId="77777777" w:rsidR="00AB2C76" w:rsidRPr="00AB2C76" w:rsidRDefault="00AB2C76" w:rsidP="00AB2C76">
            <w:pPr>
              <w:spacing w:after="0"/>
              <w:jc w:val="center"/>
              <w:rPr>
                <w:rFonts w:ascii="Calibri" w:eastAsia="Times New Roman" w:hAnsi="Calibri" w:cs="Times New Roman"/>
                <w:b/>
                <w:bCs/>
                <w:i/>
                <w:iCs/>
                <w:color w:val="000000"/>
                <w:sz w:val="20"/>
                <w:szCs w:val="20"/>
                <w:lang w:eastAsia="en-GB"/>
              </w:rPr>
            </w:pPr>
            <w:r w:rsidRPr="00AB2C76">
              <w:rPr>
                <w:rFonts w:ascii="Calibri" w:eastAsia="Times New Roman" w:hAnsi="Calibri" w:cs="Times New Roman"/>
                <w:b/>
                <w:bCs/>
                <w:i/>
                <w:iCs/>
                <w:color w:val="000000"/>
                <w:sz w:val="20"/>
                <w:szCs w:val="20"/>
                <w:lang w:eastAsia="en-GB"/>
              </w:rPr>
              <w:t>n</w:t>
            </w:r>
          </w:p>
        </w:tc>
      </w:tr>
      <w:tr w:rsidR="00AB2C76" w:rsidRPr="00AB2C76" w14:paraId="2E1D5405" w14:textId="77777777" w:rsidTr="00AB2C76">
        <w:trPr>
          <w:trHeight w:val="300"/>
        </w:trPr>
        <w:tc>
          <w:tcPr>
            <w:tcW w:w="4242" w:type="dxa"/>
            <w:tcBorders>
              <w:top w:val="nil"/>
              <w:left w:val="single" w:sz="4" w:space="0" w:color="auto"/>
              <w:bottom w:val="nil"/>
              <w:right w:val="nil"/>
            </w:tcBorders>
            <w:shd w:val="clear" w:color="000000" w:fill="FFFFFF"/>
            <w:vAlign w:val="bottom"/>
            <w:hideMark/>
          </w:tcPr>
          <w:p w14:paraId="6EB2FE21"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Pensioner couple on £103, 1998</w:t>
            </w:r>
          </w:p>
        </w:tc>
        <w:tc>
          <w:tcPr>
            <w:tcW w:w="1138" w:type="dxa"/>
            <w:tcBorders>
              <w:top w:val="nil"/>
              <w:left w:val="nil"/>
              <w:bottom w:val="nil"/>
              <w:right w:val="nil"/>
            </w:tcBorders>
            <w:shd w:val="clear" w:color="000000" w:fill="FFFFFF"/>
            <w:noWrap/>
            <w:vAlign w:val="bottom"/>
            <w:hideMark/>
          </w:tcPr>
          <w:p w14:paraId="63CC2B27"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21.0%</w:t>
            </w:r>
          </w:p>
        </w:tc>
        <w:tc>
          <w:tcPr>
            <w:tcW w:w="1138" w:type="dxa"/>
            <w:tcBorders>
              <w:top w:val="nil"/>
              <w:left w:val="nil"/>
              <w:bottom w:val="nil"/>
              <w:right w:val="nil"/>
            </w:tcBorders>
            <w:shd w:val="clear" w:color="000000" w:fill="FFFFFF"/>
            <w:noWrap/>
            <w:vAlign w:val="bottom"/>
            <w:hideMark/>
          </w:tcPr>
          <w:p w14:paraId="2AA0580D"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17.9%</w:t>
            </w:r>
          </w:p>
        </w:tc>
        <w:tc>
          <w:tcPr>
            <w:tcW w:w="1000" w:type="dxa"/>
            <w:tcBorders>
              <w:top w:val="nil"/>
              <w:left w:val="nil"/>
              <w:bottom w:val="nil"/>
              <w:right w:val="nil"/>
            </w:tcBorders>
            <w:shd w:val="clear" w:color="000000" w:fill="FFFFFF"/>
            <w:noWrap/>
            <w:vAlign w:val="bottom"/>
            <w:hideMark/>
          </w:tcPr>
          <w:p w14:paraId="645EBF3D"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56.5%</w:t>
            </w:r>
          </w:p>
        </w:tc>
        <w:tc>
          <w:tcPr>
            <w:tcW w:w="1000" w:type="dxa"/>
            <w:tcBorders>
              <w:top w:val="nil"/>
              <w:left w:val="nil"/>
              <w:bottom w:val="nil"/>
              <w:right w:val="single" w:sz="4" w:space="0" w:color="auto"/>
            </w:tcBorders>
            <w:shd w:val="clear" w:color="000000" w:fill="FFFFFF"/>
            <w:noWrap/>
            <w:vAlign w:val="bottom"/>
            <w:hideMark/>
          </w:tcPr>
          <w:p w14:paraId="21DB832B"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4.6%</w:t>
            </w:r>
          </w:p>
        </w:tc>
        <w:tc>
          <w:tcPr>
            <w:tcW w:w="622" w:type="dxa"/>
            <w:tcBorders>
              <w:top w:val="nil"/>
              <w:left w:val="nil"/>
              <w:bottom w:val="nil"/>
              <w:right w:val="single" w:sz="4" w:space="0" w:color="auto"/>
            </w:tcBorders>
            <w:shd w:val="clear" w:color="000000" w:fill="FFFFFF"/>
            <w:noWrap/>
            <w:vAlign w:val="bottom"/>
            <w:hideMark/>
          </w:tcPr>
          <w:p w14:paraId="7D43D3B2"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1543</w:t>
            </w:r>
          </w:p>
        </w:tc>
      </w:tr>
      <w:tr w:rsidR="00AB2C76" w:rsidRPr="00AB2C76" w14:paraId="40B9FAD2"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362CFD23"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Pensioner couple on £98, 1996</w:t>
            </w:r>
          </w:p>
        </w:tc>
        <w:tc>
          <w:tcPr>
            <w:tcW w:w="1138" w:type="dxa"/>
            <w:tcBorders>
              <w:top w:val="nil"/>
              <w:left w:val="nil"/>
              <w:bottom w:val="nil"/>
              <w:right w:val="nil"/>
            </w:tcBorders>
            <w:shd w:val="clear" w:color="000000" w:fill="FFFFFF"/>
            <w:noWrap/>
            <w:vAlign w:val="bottom"/>
            <w:hideMark/>
          </w:tcPr>
          <w:p w14:paraId="76F7FFD4"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15.5%</w:t>
            </w:r>
          </w:p>
        </w:tc>
        <w:tc>
          <w:tcPr>
            <w:tcW w:w="1138" w:type="dxa"/>
            <w:tcBorders>
              <w:top w:val="nil"/>
              <w:left w:val="nil"/>
              <w:bottom w:val="nil"/>
              <w:right w:val="nil"/>
            </w:tcBorders>
            <w:shd w:val="clear" w:color="000000" w:fill="FFFFFF"/>
            <w:noWrap/>
            <w:vAlign w:val="bottom"/>
            <w:hideMark/>
          </w:tcPr>
          <w:p w14:paraId="231E593C"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19.4%</w:t>
            </w:r>
          </w:p>
        </w:tc>
        <w:tc>
          <w:tcPr>
            <w:tcW w:w="1000" w:type="dxa"/>
            <w:tcBorders>
              <w:top w:val="nil"/>
              <w:left w:val="nil"/>
              <w:bottom w:val="nil"/>
              <w:right w:val="nil"/>
            </w:tcBorders>
            <w:shd w:val="clear" w:color="000000" w:fill="FFFFFF"/>
            <w:noWrap/>
            <w:vAlign w:val="bottom"/>
            <w:hideMark/>
          </w:tcPr>
          <w:p w14:paraId="5E5217F4"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61.1%</w:t>
            </w:r>
          </w:p>
        </w:tc>
        <w:tc>
          <w:tcPr>
            <w:tcW w:w="1000" w:type="dxa"/>
            <w:tcBorders>
              <w:top w:val="nil"/>
              <w:left w:val="nil"/>
              <w:bottom w:val="nil"/>
              <w:right w:val="single" w:sz="4" w:space="0" w:color="auto"/>
            </w:tcBorders>
            <w:shd w:val="clear" w:color="000000" w:fill="FFFFFF"/>
            <w:noWrap/>
            <w:vAlign w:val="bottom"/>
            <w:hideMark/>
          </w:tcPr>
          <w:p w14:paraId="0E6DDE95"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4.0%</w:t>
            </w:r>
          </w:p>
        </w:tc>
        <w:tc>
          <w:tcPr>
            <w:tcW w:w="622" w:type="dxa"/>
            <w:tcBorders>
              <w:top w:val="nil"/>
              <w:left w:val="nil"/>
              <w:bottom w:val="nil"/>
              <w:right w:val="single" w:sz="4" w:space="0" w:color="auto"/>
            </w:tcBorders>
            <w:shd w:val="clear" w:color="000000" w:fill="FFFFFF"/>
            <w:noWrap/>
            <w:vAlign w:val="bottom"/>
            <w:hideMark/>
          </w:tcPr>
          <w:p w14:paraId="2800C608"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607</w:t>
            </w:r>
          </w:p>
        </w:tc>
      </w:tr>
      <w:tr w:rsidR="00AB2C76" w:rsidRPr="00AB2C76" w14:paraId="4F253CDE"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39D822EE"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Pensioner couple on £87, 1993</w:t>
            </w:r>
          </w:p>
        </w:tc>
        <w:tc>
          <w:tcPr>
            <w:tcW w:w="1138" w:type="dxa"/>
            <w:tcBorders>
              <w:top w:val="nil"/>
              <w:left w:val="nil"/>
              <w:bottom w:val="nil"/>
              <w:right w:val="nil"/>
            </w:tcBorders>
            <w:shd w:val="clear" w:color="000000" w:fill="FFFFFF"/>
            <w:noWrap/>
            <w:vAlign w:val="bottom"/>
            <w:hideMark/>
          </w:tcPr>
          <w:p w14:paraId="33C0D9BB"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20.4%</w:t>
            </w:r>
          </w:p>
        </w:tc>
        <w:tc>
          <w:tcPr>
            <w:tcW w:w="1138" w:type="dxa"/>
            <w:tcBorders>
              <w:top w:val="nil"/>
              <w:left w:val="nil"/>
              <w:bottom w:val="nil"/>
              <w:right w:val="nil"/>
            </w:tcBorders>
            <w:shd w:val="clear" w:color="000000" w:fill="FFFFFF"/>
            <w:noWrap/>
            <w:vAlign w:val="bottom"/>
            <w:hideMark/>
          </w:tcPr>
          <w:p w14:paraId="086DA989"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14.4%</w:t>
            </w:r>
          </w:p>
        </w:tc>
        <w:tc>
          <w:tcPr>
            <w:tcW w:w="1000" w:type="dxa"/>
            <w:tcBorders>
              <w:top w:val="nil"/>
              <w:left w:val="nil"/>
              <w:bottom w:val="nil"/>
              <w:right w:val="nil"/>
            </w:tcBorders>
            <w:shd w:val="clear" w:color="000000" w:fill="FFFFFF"/>
            <w:noWrap/>
            <w:vAlign w:val="bottom"/>
            <w:hideMark/>
          </w:tcPr>
          <w:p w14:paraId="720DB4FF"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61.2%</w:t>
            </w:r>
          </w:p>
        </w:tc>
        <w:tc>
          <w:tcPr>
            <w:tcW w:w="1000" w:type="dxa"/>
            <w:tcBorders>
              <w:top w:val="nil"/>
              <w:left w:val="nil"/>
              <w:bottom w:val="nil"/>
              <w:right w:val="single" w:sz="4" w:space="0" w:color="auto"/>
            </w:tcBorders>
            <w:shd w:val="clear" w:color="000000" w:fill="FFFFFF"/>
            <w:noWrap/>
            <w:vAlign w:val="bottom"/>
            <w:hideMark/>
          </w:tcPr>
          <w:p w14:paraId="12E59EBD"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4.0%</w:t>
            </w:r>
          </w:p>
        </w:tc>
        <w:tc>
          <w:tcPr>
            <w:tcW w:w="622" w:type="dxa"/>
            <w:tcBorders>
              <w:top w:val="nil"/>
              <w:left w:val="nil"/>
              <w:bottom w:val="nil"/>
              <w:right w:val="single" w:sz="4" w:space="0" w:color="auto"/>
            </w:tcBorders>
            <w:shd w:val="clear" w:color="000000" w:fill="FFFFFF"/>
            <w:noWrap/>
            <w:vAlign w:val="bottom"/>
            <w:hideMark/>
          </w:tcPr>
          <w:p w14:paraId="0E077521"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1437</w:t>
            </w:r>
          </w:p>
        </w:tc>
      </w:tr>
      <w:tr w:rsidR="00AB2C76" w:rsidRPr="00AB2C76" w14:paraId="44AA062D"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629CEE3B"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Pensioner couple on £75, 1991</w:t>
            </w:r>
          </w:p>
        </w:tc>
        <w:tc>
          <w:tcPr>
            <w:tcW w:w="1138" w:type="dxa"/>
            <w:tcBorders>
              <w:top w:val="nil"/>
              <w:left w:val="nil"/>
              <w:bottom w:val="nil"/>
              <w:right w:val="nil"/>
            </w:tcBorders>
            <w:shd w:val="clear" w:color="000000" w:fill="FFFFFF"/>
            <w:noWrap/>
            <w:vAlign w:val="bottom"/>
            <w:hideMark/>
          </w:tcPr>
          <w:p w14:paraId="396C489E"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21.8%</w:t>
            </w:r>
          </w:p>
        </w:tc>
        <w:tc>
          <w:tcPr>
            <w:tcW w:w="1138" w:type="dxa"/>
            <w:tcBorders>
              <w:top w:val="nil"/>
              <w:left w:val="nil"/>
              <w:bottom w:val="nil"/>
              <w:right w:val="nil"/>
            </w:tcBorders>
            <w:shd w:val="clear" w:color="000000" w:fill="FFFFFF"/>
            <w:noWrap/>
            <w:vAlign w:val="bottom"/>
            <w:hideMark/>
          </w:tcPr>
          <w:p w14:paraId="0A2AA08E"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15.3%</w:t>
            </w:r>
          </w:p>
        </w:tc>
        <w:tc>
          <w:tcPr>
            <w:tcW w:w="1000" w:type="dxa"/>
            <w:tcBorders>
              <w:top w:val="nil"/>
              <w:left w:val="nil"/>
              <w:bottom w:val="nil"/>
              <w:right w:val="nil"/>
            </w:tcBorders>
            <w:shd w:val="clear" w:color="000000" w:fill="FFFFFF"/>
            <w:noWrap/>
            <w:vAlign w:val="bottom"/>
            <w:hideMark/>
          </w:tcPr>
          <w:p w14:paraId="205E222F"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58.1%</w:t>
            </w:r>
          </w:p>
        </w:tc>
        <w:tc>
          <w:tcPr>
            <w:tcW w:w="1000" w:type="dxa"/>
            <w:tcBorders>
              <w:top w:val="nil"/>
              <w:left w:val="nil"/>
              <w:bottom w:val="nil"/>
              <w:right w:val="single" w:sz="4" w:space="0" w:color="auto"/>
            </w:tcBorders>
            <w:shd w:val="clear" w:color="000000" w:fill="FFFFFF"/>
            <w:noWrap/>
            <w:vAlign w:val="bottom"/>
            <w:hideMark/>
          </w:tcPr>
          <w:p w14:paraId="56521A33"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4.8%</w:t>
            </w:r>
          </w:p>
        </w:tc>
        <w:tc>
          <w:tcPr>
            <w:tcW w:w="622" w:type="dxa"/>
            <w:tcBorders>
              <w:top w:val="nil"/>
              <w:left w:val="nil"/>
              <w:bottom w:val="nil"/>
              <w:right w:val="single" w:sz="4" w:space="0" w:color="auto"/>
            </w:tcBorders>
            <w:shd w:val="clear" w:color="000000" w:fill="FFFFFF"/>
            <w:noWrap/>
            <w:vAlign w:val="bottom"/>
            <w:hideMark/>
          </w:tcPr>
          <w:p w14:paraId="26C3E80D"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1457</w:t>
            </w:r>
          </w:p>
        </w:tc>
      </w:tr>
      <w:tr w:rsidR="00AB2C76" w:rsidRPr="00AB2C76" w14:paraId="04805BBA"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49BBC2D1"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Pensioner couple on £66, 1989</w:t>
            </w:r>
          </w:p>
        </w:tc>
        <w:tc>
          <w:tcPr>
            <w:tcW w:w="1138" w:type="dxa"/>
            <w:tcBorders>
              <w:top w:val="nil"/>
              <w:left w:val="nil"/>
              <w:bottom w:val="nil"/>
              <w:right w:val="nil"/>
            </w:tcBorders>
            <w:shd w:val="clear" w:color="000000" w:fill="FFFFFF"/>
            <w:noWrap/>
            <w:vAlign w:val="bottom"/>
            <w:hideMark/>
          </w:tcPr>
          <w:p w14:paraId="432D96EE"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12.8%</w:t>
            </w:r>
          </w:p>
        </w:tc>
        <w:tc>
          <w:tcPr>
            <w:tcW w:w="1138" w:type="dxa"/>
            <w:tcBorders>
              <w:top w:val="nil"/>
              <w:left w:val="nil"/>
              <w:bottom w:val="nil"/>
              <w:right w:val="nil"/>
            </w:tcBorders>
            <w:shd w:val="clear" w:color="000000" w:fill="FFFFFF"/>
            <w:noWrap/>
            <w:vAlign w:val="bottom"/>
            <w:hideMark/>
          </w:tcPr>
          <w:p w14:paraId="4703FB7B"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22.2%</w:t>
            </w:r>
          </w:p>
        </w:tc>
        <w:tc>
          <w:tcPr>
            <w:tcW w:w="1000" w:type="dxa"/>
            <w:tcBorders>
              <w:top w:val="nil"/>
              <w:left w:val="nil"/>
              <w:bottom w:val="nil"/>
              <w:right w:val="nil"/>
            </w:tcBorders>
            <w:shd w:val="clear" w:color="000000" w:fill="FFFFFF"/>
            <w:noWrap/>
            <w:vAlign w:val="bottom"/>
            <w:hideMark/>
          </w:tcPr>
          <w:p w14:paraId="7ED38169"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61.5%</w:t>
            </w:r>
          </w:p>
        </w:tc>
        <w:tc>
          <w:tcPr>
            <w:tcW w:w="1000" w:type="dxa"/>
            <w:tcBorders>
              <w:top w:val="nil"/>
              <w:left w:val="nil"/>
              <w:bottom w:val="nil"/>
              <w:right w:val="single" w:sz="4" w:space="0" w:color="auto"/>
            </w:tcBorders>
            <w:shd w:val="clear" w:color="000000" w:fill="FFFFFF"/>
            <w:noWrap/>
            <w:vAlign w:val="bottom"/>
            <w:hideMark/>
          </w:tcPr>
          <w:p w14:paraId="13189049"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3.4%</w:t>
            </w:r>
          </w:p>
        </w:tc>
        <w:tc>
          <w:tcPr>
            <w:tcW w:w="622" w:type="dxa"/>
            <w:tcBorders>
              <w:top w:val="nil"/>
              <w:left w:val="nil"/>
              <w:bottom w:val="nil"/>
              <w:right w:val="single" w:sz="4" w:space="0" w:color="auto"/>
            </w:tcBorders>
            <w:shd w:val="clear" w:color="000000" w:fill="FFFFFF"/>
            <w:noWrap/>
            <w:vAlign w:val="bottom"/>
            <w:hideMark/>
          </w:tcPr>
          <w:p w14:paraId="3063ECCE"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1492</w:t>
            </w:r>
          </w:p>
        </w:tc>
      </w:tr>
      <w:tr w:rsidR="00AB2C76" w:rsidRPr="00AB2C76" w14:paraId="44973EBE" w14:textId="77777777" w:rsidTr="00AB2C76">
        <w:trPr>
          <w:trHeight w:val="288"/>
        </w:trPr>
        <w:tc>
          <w:tcPr>
            <w:tcW w:w="4242" w:type="dxa"/>
            <w:tcBorders>
              <w:top w:val="nil"/>
              <w:left w:val="single" w:sz="4" w:space="0" w:color="auto"/>
              <w:bottom w:val="single" w:sz="4" w:space="0" w:color="auto"/>
              <w:right w:val="nil"/>
            </w:tcBorders>
            <w:shd w:val="clear" w:color="000000" w:fill="FFFFFF"/>
            <w:vAlign w:val="bottom"/>
            <w:hideMark/>
          </w:tcPr>
          <w:p w14:paraId="4B4BAD96"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Pensioner couple on £62, 1986</w:t>
            </w:r>
          </w:p>
        </w:tc>
        <w:tc>
          <w:tcPr>
            <w:tcW w:w="1138" w:type="dxa"/>
            <w:tcBorders>
              <w:top w:val="nil"/>
              <w:left w:val="nil"/>
              <w:bottom w:val="single" w:sz="4" w:space="0" w:color="auto"/>
              <w:right w:val="nil"/>
            </w:tcBorders>
            <w:shd w:val="clear" w:color="000000" w:fill="FFFFFF"/>
            <w:noWrap/>
            <w:vAlign w:val="bottom"/>
            <w:hideMark/>
          </w:tcPr>
          <w:p w14:paraId="314F241E"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15.7%</w:t>
            </w:r>
          </w:p>
        </w:tc>
        <w:tc>
          <w:tcPr>
            <w:tcW w:w="1138" w:type="dxa"/>
            <w:tcBorders>
              <w:top w:val="nil"/>
              <w:left w:val="nil"/>
              <w:bottom w:val="single" w:sz="4" w:space="0" w:color="auto"/>
              <w:right w:val="nil"/>
            </w:tcBorders>
            <w:shd w:val="clear" w:color="000000" w:fill="FFFFFF"/>
            <w:noWrap/>
            <w:vAlign w:val="bottom"/>
            <w:hideMark/>
          </w:tcPr>
          <w:p w14:paraId="44295775"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17.0%</w:t>
            </w:r>
          </w:p>
        </w:tc>
        <w:tc>
          <w:tcPr>
            <w:tcW w:w="1000" w:type="dxa"/>
            <w:tcBorders>
              <w:top w:val="nil"/>
              <w:left w:val="nil"/>
              <w:bottom w:val="single" w:sz="4" w:space="0" w:color="auto"/>
              <w:right w:val="nil"/>
            </w:tcBorders>
            <w:shd w:val="clear" w:color="000000" w:fill="FFFFFF"/>
            <w:noWrap/>
            <w:vAlign w:val="bottom"/>
            <w:hideMark/>
          </w:tcPr>
          <w:p w14:paraId="010D0511"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61.1%</w:t>
            </w:r>
          </w:p>
        </w:tc>
        <w:tc>
          <w:tcPr>
            <w:tcW w:w="1000" w:type="dxa"/>
            <w:tcBorders>
              <w:top w:val="nil"/>
              <w:left w:val="nil"/>
              <w:bottom w:val="single" w:sz="4" w:space="0" w:color="auto"/>
              <w:right w:val="single" w:sz="4" w:space="0" w:color="auto"/>
            </w:tcBorders>
            <w:shd w:val="clear" w:color="000000" w:fill="FFFFFF"/>
            <w:noWrap/>
            <w:vAlign w:val="bottom"/>
            <w:hideMark/>
          </w:tcPr>
          <w:p w14:paraId="6B87FD51"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6.3%</w:t>
            </w:r>
          </w:p>
        </w:tc>
        <w:tc>
          <w:tcPr>
            <w:tcW w:w="622" w:type="dxa"/>
            <w:tcBorders>
              <w:top w:val="nil"/>
              <w:left w:val="nil"/>
              <w:bottom w:val="single" w:sz="4" w:space="0" w:color="auto"/>
              <w:right w:val="single" w:sz="4" w:space="0" w:color="auto"/>
            </w:tcBorders>
            <w:shd w:val="clear" w:color="000000" w:fill="FFFFFF"/>
            <w:noWrap/>
            <w:vAlign w:val="bottom"/>
            <w:hideMark/>
          </w:tcPr>
          <w:p w14:paraId="5B0E09B5"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1522</w:t>
            </w:r>
          </w:p>
        </w:tc>
      </w:tr>
      <w:tr w:rsidR="00AB2C76" w:rsidRPr="00AB2C76" w14:paraId="67696916"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794EDEA1"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Unemployed couple w/o kids on £79, 1998</w:t>
            </w:r>
          </w:p>
        </w:tc>
        <w:tc>
          <w:tcPr>
            <w:tcW w:w="1138" w:type="dxa"/>
            <w:tcBorders>
              <w:top w:val="nil"/>
              <w:left w:val="nil"/>
              <w:bottom w:val="nil"/>
              <w:right w:val="nil"/>
            </w:tcBorders>
            <w:shd w:val="clear" w:color="000000" w:fill="FFFFFF"/>
            <w:noWrap/>
            <w:vAlign w:val="bottom"/>
            <w:hideMark/>
          </w:tcPr>
          <w:p w14:paraId="61BFBDFF"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5.0%</w:t>
            </w:r>
          </w:p>
        </w:tc>
        <w:tc>
          <w:tcPr>
            <w:tcW w:w="1138" w:type="dxa"/>
            <w:tcBorders>
              <w:top w:val="nil"/>
              <w:left w:val="nil"/>
              <w:bottom w:val="nil"/>
              <w:right w:val="nil"/>
            </w:tcBorders>
            <w:shd w:val="clear" w:color="000000" w:fill="FFFFFF"/>
            <w:noWrap/>
            <w:vAlign w:val="bottom"/>
            <w:hideMark/>
          </w:tcPr>
          <w:p w14:paraId="13E8D50D"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49.8%</w:t>
            </w:r>
          </w:p>
        </w:tc>
        <w:tc>
          <w:tcPr>
            <w:tcW w:w="1000" w:type="dxa"/>
            <w:tcBorders>
              <w:top w:val="nil"/>
              <w:left w:val="nil"/>
              <w:bottom w:val="nil"/>
              <w:right w:val="nil"/>
            </w:tcBorders>
            <w:shd w:val="clear" w:color="000000" w:fill="FFFFFF"/>
            <w:noWrap/>
            <w:vAlign w:val="bottom"/>
            <w:hideMark/>
          </w:tcPr>
          <w:p w14:paraId="66421F66"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37.1%</w:t>
            </w:r>
          </w:p>
        </w:tc>
        <w:tc>
          <w:tcPr>
            <w:tcW w:w="1000" w:type="dxa"/>
            <w:tcBorders>
              <w:top w:val="nil"/>
              <w:left w:val="nil"/>
              <w:bottom w:val="nil"/>
              <w:right w:val="single" w:sz="4" w:space="0" w:color="auto"/>
            </w:tcBorders>
            <w:shd w:val="clear" w:color="000000" w:fill="FFFFFF"/>
            <w:noWrap/>
            <w:vAlign w:val="bottom"/>
            <w:hideMark/>
          </w:tcPr>
          <w:p w14:paraId="11BB776E"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8.1%</w:t>
            </w:r>
          </w:p>
        </w:tc>
        <w:tc>
          <w:tcPr>
            <w:tcW w:w="622" w:type="dxa"/>
            <w:tcBorders>
              <w:top w:val="nil"/>
              <w:left w:val="nil"/>
              <w:bottom w:val="nil"/>
              <w:right w:val="single" w:sz="4" w:space="0" w:color="auto"/>
            </w:tcBorders>
            <w:shd w:val="clear" w:color="000000" w:fill="FFFFFF"/>
            <w:noWrap/>
            <w:vAlign w:val="bottom"/>
            <w:hideMark/>
          </w:tcPr>
          <w:p w14:paraId="5FE17599"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1550</w:t>
            </w:r>
          </w:p>
        </w:tc>
      </w:tr>
      <w:tr w:rsidR="00AB2C76" w:rsidRPr="00AB2C76" w14:paraId="19E55EA2"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51F17085"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Unemployed couple w/o kids on £78, 1996</w:t>
            </w:r>
          </w:p>
        </w:tc>
        <w:tc>
          <w:tcPr>
            <w:tcW w:w="1138" w:type="dxa"/>
            <w:tcBorders>
              <w:top w:val="nil"/>
              <w:left w:val="nil"/>
              <w:bottom w:val="nil"/>
              <w:right w:val="nil"/>
            </w:tcBorders>
            <w:shd w:val="clear" w:color="000000" w:fill="FFFFFF"/>
            <w:noWrap/>
            <w:vAlign w:val="bottom"/>
            <w:hideMark/>
          </w:tcPr>
          <w:p w14:paraId="36767E00"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4.4%</w:t>
            </w:r>
          </w:p>
        </w:tc>
        <w:tc>
          <w:tcPr>
            <w:tcW w:w="1138" w:type="dxa"/>
            <w:tcBorders>
              <w:top w:val="nil"/>
              <w:left w:val="nil"/>
              <w:bottom w:val="nil"/>
              <w:right w:val="nil"/>
            </w:tcBorders>
            <w:shd w:val="clear" w:color="000000" w:fill="FFFFFF"/>
            <w:noWrap/>
            <w:vAlign w:val="bottom"/>
            <w:hideMark/>
          </w:tcPr>
          <w:p w14:paraId="7ACC9E1D"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39.6%</w:t>
            </w:r>
          </w:p>
        </w:tc>
        <w:tc>
          <w:tcPr>
            <w:tcW w:w="1000" w:type="dxa"/>
            <w:tcBorders>
              <w:top w:val="nil"/>
              <w:left w:val="nil"/>
              <w:bottom w:val="nil"/>
              <w:right w:val="nil"/>
            </w:tcBorders>
            <w:shd w:val="clear" w:color="000000" w:fill="FFFFFF"/>
            <w:noWrap/>
            <w:vAlign w:val="bottom"/>
            <w:hideMark/>
          </w:tcPr>
          <w:p w14:paraId="16DAAFC1"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48.5%</w:t>
            </w:r>
          </w:p>
        </w:tc>
        <w:tc>
          <w:tcPr>
            <w:tcW w:w="1000" w:type="dxa"/>
            <w:tcBorders>
              <w:top w:val="nil"/>
              <w:left w:val="nil"/>
              <w:bottom w:val="nil"/>
              <w:right w:val="single" w:sz="4" w:space="0" w:color="auto"/>
            </w:tcBorders>
            <w:shd w:val="clear" w:color="000000" w:fill="FFFFFF"/>
            <w:noWrap/>
            <w:vAlign w:val="bottom"/>
            <w:hideMark/>
          </w:tcPr>
          <w:p w14:paraId="5E954445"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7.5%</w:t>
            </w:r>
          </w:p>
        </w:tc>
        <w:tc>
          <w:tcPr>
            <w:tcW w:w="622" w:type="dxa"/>
            <w:tcBorders>
              <w:top w:val="nil"/>
              <w:left w:val="nil"/>
              <w:bottom w:val="nil"/>
              <w:right w:val="single" w:sz="4" w:space="0" w:color="auto"/>
            </w:tcBorders>
            <w:shd w:val="clear" w:color="000000" w:fill="FFFFFF"/>
            <w:noWrap/>
            <w:vAlign w:val="bottom"/>
            <w:hideMark/>
          </w:tcPr>
          <w:p w14:paraId="1F68FE02"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610</w:t>
            </w:r>
          </w:p>
        </w:tc>
      </w:tr>
      <w:tr w:rsidR="00AB2C76" w:rsidRPr="00AB2C76" w14:paraId="2CA59A7F"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0F6C2068"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Unemployed couple w/o kids on £60, 1991</w:t>
            </w:r>
          </w:p>
        </w:tc>
        <w:tc>
          <w:tcPr>
            <w:tcW w:w="1138" w:type="dxa"/>
            <w:tcBorders>
              <w:top w:val="nil"/>
              <w:left w:val="nil"/>
              <w:bottom w:val="nil"/>
              <w:right w:val="nil"/>
            </w:tcBorders>
            <w:shd w:val="clear" w:color="000000" w:fill="FFFFFF"/>
            <w:noWrap/>
            <w:vAlign w:val="bottom"/>
            <w:hideMark/>
          </w:tcPr>
          <w:p w14:paraId="4223E80F"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6.9%</w:t>
            </w:r>
          </w:p>
        </w:tc>
        <w:tc>
          <w:tcPr>
            <w:tcW w:w="1138" w:type="dxa"/>
            <w:tcBorders>
              <w:top w:val="nil"/>
              <w:left w:val="nil"/>
              <w:bottom w:val="nil"/>
              <w:right w:val="nil"/>
            </w:tcBorders>
            <w:shd w:val="clear" w:color="000000" w:fill="FFFFFF"/>
            <w:noWrap/>
            <w:vAlign w:val="bottom"/>
            <w:hideMark/>
          </w:tcPr>
          <w:p w14:paraId="768A5CB7"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36.5%</w:t>
            </w:r>
          </w:p>
        </w:tc>
        <w:tc>
          <w:tcPr>
            <w:tcW w:w="1000" w:type="dxa"/>
            <w:tcBorders>
              <w:top w:val="nil"/>
              <w:left w:val="nil"/>
              <w:bottom w:val="nil"/>
              <w:right w:val="nil"/>
            </w:tcBorders>
            <w:shd w:val="clear" w:color="000000" w:fill="FFFFFF"/>
            <w:noWrap/>
            <w:vAlign w:val="bottom"/>
            <w:hideMark/>
          </w:tcPr>
          <w:p w14:paraId="3513CD72"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43.7%</w:t>
            </w:r>
          </w:p>
        </w:tc>
        <w:tc>
          <w:tcPr>
            <w:tcW w:w="1000" w:type="dxa"/>
            <w:tcBorders>
              <w:top w:val="nil"/>
              <w:left w:val="nil"/>
              <w:bottom w:val="nil"/>
              <w:right w:val="single" w:sz="4" w:space="0" w:color="auto"/>
            </w:tcBorders>
            <w:shd w:val="clear" w:color="000000" w:fill="FFFFFF"/>
            <w:noWrap/>
            <w:vAlign w:val="bottom"/>
            <w:hideMark/>
          </w:tcPr>
          <w:p w14:paraId="53BD56B8"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12.9%</w:t>
            </w:r>
          </w:p>
        </w:tc>
        <w:tc>
          <w:tcPr>
            <w:tcW w:w="622" w:type="dxa"/>
            <w:tcBorders>
              <w:top w:val="nil"/>
              <w:left w:val="nil"/>
              <w:bottom w:val="nil"/>
              <w:right w:val="single" w:sz="4" w:space="0" w:color="auto"/>
            </w:tcBorders>
            <w:shd w:val="clear" w:color="000000" w:fill="FFFFFF"/>
            <w:noWrap/>
            <w:vAlign w:val="bottom"/>
            <w:hideMark/>
          </w:tcPr>
          <w:p w14:paraId="21B4B58D"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1456</w:t>
            </w:r>
          </w:p>
        </w:tc>
      </w:tr>
      <w:tr w:rsidR="00AB2C76" w:rsidRPr="00AB2C76" w14:paraId="6522ED2B" w14:textId="77777777" w:rsidTr="00AB2C76">
        <w:trPr>
          <w:trHeight w:val="288"/>
        </w:trPr>
        <w:tc>
          <w:tcPr>
            <w:tcW w:w="4242" w:type="dxa"/>
            <w:tcBorders>
              <w:top w:val="nil"/>
              <w:left w:val="single" w:sz="4" w:space="0" w:color="auto"/>
              <w:bottom w:val="nil"/>
              <w:right w:val="nil"/>
            </w:tcBorders>
            <w:shd w:val="clear" w:color="000000" w:fill="FFFFFF"/>
            <w:vAlign w:val="bottom"/>
            <w:hideMark/>
          </w:tcPr>
          <w:p w14:paraId="6824BD6C"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Unemployed couple w/o kids on £53, 1989</w:t>
            </w:r>
          </w:p>
        </w:tc>
        <w:tc>
          <w:tcPr>
            <w:tcW w:w="1138" w:type="dxa"/>
            <w:tcBorders>
              <w:top w:val="nil"/>
              <w:left w:val="nil"/>
              <w:bottom w:val="nil"/>
              <w:right w:val="nil"/>
            </w:tcBorders>
            <w:shd w:val="clear" w:color="000000" w:fill="FFFFFF"/>
            <w:noWrap/>
            <w:vAlign w:val="bottom"/>
            <w:hideMark/>
          </w:tcPr>
          <w:p w14:paraId="6483B66B"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3.1%</w:t>
            </w:r>
          </w:p>
        </w:tc>
        <w:tc>
          <w:tcPr>
            <w:tcW w:w="1138" w:type="dxa"/>
            <w:tcBorders>
              <w:top w:val="nil"/>
              <w:left w:val="nil"/>
              <w:bottom w:val="nil"/>
              <w:right w:val="nil"/>
            </w:tcBorders>
            <w:shd w:val="clear" w:color="000000" w:fill="FFFFFF"/>
            <w:noWrap/>
            <w:vAlign w:val="bottom"/>
            <w:hideMark/>
          </w:tcPr>
          <w:p w14:paraId="2BFA0D13"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44.4%</w:t>
            </w:r>
          </w:p>
        </w:tc>
        <w:tc>
          <w:tcPr>
            <w:tcW w:w="1000" w:type="dxa"/>
            <w:tcBorders>
              <w:top w:val="nil"/>
              <w:left w:val="nil"/>
              <w:bottom w:val="nil"/>
              <w:right w:val="nil"/>
            </w:tcBorders>
            <w:shd w:val="clear" w:color="000000" w:fill="FFFFFF"/>
            <w:noWrap/>
            <w:vAlign w:val="bottom"/>
            <w:hideMark/>
          </w:tcPr>
          <w:p w14:paraId="32D46274"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42.9%</w:t>
            </w:r>
          </w:p>
        </w:tc>
        <w:tc>
          <w:tcPr>
            <w:tcW w:w="1000" w:type="dxa"/>
            <w:tcBorders>
              <w:top w:val="nil"/>
              <w:left w:val="nil"/>
              <w:bottom w:val="nil"/>
              <w:right w:val="single" w:sz="4" w:space="0" w:color="auto"/>
            </w:tcBorders>
            <w:shd w:val="clear" w:color="000000" w:fill="FFFFFF"/>
            <w:noWrap/>
            <w:vAlign w:val="bottom"/>
            <w:hideMark/>
          </w:tcPr>
          <w:p w14:paraId="18D1B9BC"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9.6%</w:t>
            </w:r>
          </w:p>
        </w:tc>
        <w:tc>
          <w:tcPr>
            <w:tcW w:w="622" w:type="dxa"/>
            <w:tcBorders>
              <w:top w:val="nil"/>
              <w:left w:val="nil"/>
              <w:bottom w:val="nil"/>
              <w:right w:val="single" w:sz="4" w:space="0" w:color="auto"/>
            </w:tcBorders>
            <w:shd w:val="clear" w:color="000000" w:fill="FFFFFF"/>
            <w:noWrap/>
            <w:vAlign w:val="bottom"/>
            <w:hideMark/>
          </w:tcPr>
          <w:p w14:paraId="40CF209D"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1492</w:t>
            </w:r>
          </w:p>
        </w:tc>
      </w:tr>
      <w:tr w:rsidR="00AB2C76" w:rsidRPr="00AB2C76" w14:paraId="25F9B902" w14:textId="77777777" w:rsidTr="00AB2C76">
        <w:trPr>
          <w:trHeight w:val="288"/>
        </w:trPr>
        <w:tc>
          <w:tcPr>
            <w:tcW w:w="4242" w:type="dxa"/>
            <w:tcBorders>
              <w:top w:val="nil"/>
              <w:left w:val="single" w:sz="4" w:space="0" w:color="auto"/>
              <w:bottom w:val="single" w:sz="4" w:space="0" w:color="auto"/>
              <w:right w:val="nil"/>
            </w:tcBorders>
            <w:shd w:val="clear" w:color="000000" w:fill="FFFFFF"/>
            <w:vAlign w:val="bottom"/>
            <w:hideMark/>
          </w:tcPr>
          <w:p w14:paraId="07F16510" w14:textId="77777777" w:rsidR="00AB2C76" w:rsidRPr="00AB2C76" w:rsidRDefault="00AB2C76" w:rsidP="00AB2C76">
            <w:pPr>
              <w:spacing w:after="0"/>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Unemployed couple w/o kids on £50, 1986</w:t>
            </w:r>
          </w:p>
        </w:tc>
        <w:tc>
          <w:tcPr>
            <w:tcW w:w="1138" w:type="dxa"/>
            <w:tcBorders>
              <w:top w:val="nil"/>
              <w:left w:val="nil"/>
              <w:bottom w:val="single" w:sz="4" w:space="0" w:color="auto"/>
              <w:right w:val="nil"/>
            </w:tcBorders>
            <w:shd w:val="clear" w:color="000000" w:fill="FFFFFF"/>
            <w:noWrap/>
            <w:vAlign w:val="bottom"/>
            <w:hideMark/>
          </w:tcPr>
          <w:p w14:paraId="52BED381"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5.2%</w:t>
            </w:r>
          </w:p>
        </w:tc>
        <w:tc>
          <w:tcPr>
            <w:tcW w:w="1138" w:type="dxa"/>
            <w:tcBorders>
              <w:top w:val="nil"/>
              <w:left w:val="nil"/>
              <w:bottom w:val="single" w:sz="4" w:space="0" w:color="auto"/>
              <w:right w:val="nil"/>
            </w:tcBorders>
            <w:shd w:val="clear" w:color="000000" w:fill="FFFFFF"/>
            <w:noWrap/>
            <w:vAlign w:val="bottom"/>
            <w:hideMark/>
          </w:tcPr>
          <w:p w14:paraId="7DC4DAA5"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42.6%</w:t>
            </w:r>
          </w:p>
        </w:tc>
        <w:tc>
          <w:tcPr>
            <w:tcW w:w="1000" w:type="dxa"/>
            <w:tcBorders>
              <w:top w:val="nil"/>
              <w:left w:val="nil"/>
              <w:bottom w:val="single" w:sz="4" w:space="0" w:color="auto"/>
              <w:right w:val="nil"/>
            </w:tcBorders>
            <w:shd w:val="clear" w:color="000000" w:fill="FFFFFF"/>
            <w:noWrap/>
            <w:vAlign w:val="bottom"/>
            <w:hideMark/>
          </w:tcPr>
          <w:p w14:paraId="0404E388"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40.4%</w:t>
            </w:r>
          </w:p>
        </w:tc>
        <w:tc>
          <w:tcPr>
            <w:tcW w:w="1000" w:type="dxa"/>
            <w:tcBorders>
              <w:top w:val="nil"/>
              <w:left w:val="nil"/>
              <w:bottom w:val="single" w:sz="4" w:space="0" w:color="auto"/>
              <w:right w:val="single" w:sz="4" w:space="0" w:color="auto"/>
            </w:tcBorders>
            <w:shd w:val="clear" w:color="000000" w:fill="FFFFFF"/>
            <w:noWrap/>
            <w:vAlign w:val="bottom"/>
            <w:hideMark/>
          </w:tcPr>
          <w:p w14:paraId="4A9987FC" w14:textId="77777777" w:rsidR="00AB2C76" w:rsidRPr="00AB2C76" w:rsidRDefault="00AB2C76" w:rsidP="00AB2C76">
            <w:pPr>
              <w:spacing w:after="0"/>
              <w:jc w:val="right"/>
              <w:rPr>
                <w:rFonts w:ascii="Calibri" w:eastAsia="Times New Roman" w:hAnsi="Calibri" w:cs="Times New Roman"/>
                <w:color w:val="000000"/>
                <w:szCs w:val="22"/>
                <w:lang w:eastAsia="en-GB"/>
              </w:rPr>
            </w:pPr>
            <w:r w:rsidRPr="00AB2C76">
              <w:rPr>
                <w:rFonts w:ascii="Calibri" w:eastAsia="Times New Roman" w:hAnsi="Calibri" w:cs="Times New Roman"/>
                <w:color w:val="000000"/>
                <w:szCs w:val="22"/>
                <w:lang w:eastAsia="en-GB"/>
              </w:rPr>
              <w:t>11.8%</w:t>
            </w:r>
          </w:p>
        </w:tc>
        <w:tc>
          <w:tcPr>
            <w:tcW w:w="622" w:type="dxa"/>
            <w:tcBorders>
              <w:top w:val="nil"/>
              <w:left w:val="nil"/>
              <w:bottom w:val="single" w:sz="4" w:space="0" w:color="auto"/>
              <w:right w:val="single" w:sz="4" w:space="0" w:color="auto"/>
            </w:tcBorders>
            <w:shd w:val="clear" w:color="000000" w:fill="FFFFFF"/>
            <w:noWrap/>
            <w:vAlign w:val="bottom"/>
            <w:hideMark/>
          </w:tcPr>
          <w:p w14:paraId="7F02B57F" w14:textId="77777777" w:rsidR="00AB2C76" w:rsidRPr="00AB2C76" w:rsidRDefault="00AB2C76" w:rsidP="00AB2C76">
            <w:pPr>
              <w:spacing w:after="0"/>
              <w:jc w:val="right"/>
              <w:rPr>
                <w:rFonts w:ascii="Calibri" w:eastAsia="Times New Roman" w:hAnsi="Calibri" w:cs="Times New Roman"/>
                <w:i/>
                <w:iCs/>
                <w:color w:val="000000"/>
                <w:sz w:val="20"/>
                <w:szCs w:val="20"/>
                <w:lang w:eastAsia="en-GB"/>
              </w:rPr>
            </w:pPr>
            <w:r w:rsidRPr="00AB2C76">
              <w:rPr>
                <w:rFonts w:ascii="Calibri" w:eastAsia="Times New Roman" w:hAnsi="Calibri" w:cs="Times New Roman"/>
                <w:i/>
                <w:iCs/>
                <w:color w:val="000000"/>
                <w:sz w:val="20"/>
                <w:szCs w:val="20"/>
                <w:lang w:eastAsia="en-GB"/>
              </w:rPr>
              <w:t>1526</w:t>
            </w:r>
          </w:p>
        </w:tc>
      </w:tr>
    </w:tbl>
    <w:p w14:paraId="5295F530" w14:textId="77777777" w:rsidR="00AB2C76" w:rsidRDefault="00AB2C76" w:rsidP="004A13AF"/>
    <w:p w14:paraId="6CCFEA4F" w14:textId="19416610" w:rsidR="00AB2C76" w:rsidRDefault="00AB2C76" w:rsidP="004A13AF">
      <w:r>
        <w:t xml:space="preserve">While the exact </w:t>
      </w:r>
      <w:r w:rsidR="00062F34">
        <w:t xml:space="preserve">estimates </w:t>
      </w:r>
      <w:r>
        <w:t>vary year-on-year, overall this shows relatively little change over the 1986-1998 period.</w:t>
      </w:r>
    </w:p>
    <w:p w14:paraId="097B8E2B" w14:textId="77777777" w:rsidR="00AB2C76" w:rsidRPr="009E3310" w:rsidRDefault="00AB2C76" w:rsidP="004A13AF"/>
    <w:p w14:paraId="706B9033" w14:textId="145362EF" w:rsidR="002F17AA" w:rsidRDefault="00215F1F" w:rsidP="002F17AA">
      <w:pPr>
        <w:pStyle w:val="Heading4"/>
      </w:pPr>
      <w:r>
        <w:t xml:space="preserve">Other </w:t>
      </w:r>
      <w:r w:rsidR="002F17AA">
        <w:t>questions</w:t>
      </w:r>
    </w:p>
    <w:p w14:paraId="5E0732FB" w14:textId="20DCD8F7" w:rsidR="00215F1F" w:rsidRDefault="00215F1F" w:rsidP="00215F1F">
      <w:pPr>
        <w:rPr>
          <w:lang w:eastAsia="en-GB"/>
        </w:rPr>
      </w:pPr>
      <w:r>
        <w:rPr>
          <w:lang w:eastAsia="en-GB"/>
        </w:rPr>
        <w:t>The 2012 YouGov survey (sponsored by the TUC) asked the following series of questions:</w:t>
      </w:r>
    </w:p>
    <w:p w14:paraId="457E9429" w14:textId="77777777" w:rsidR="00215F1F" w:rsidRDefault="00215F1F" w:rsidP="00215F1F">
      <w:pPr>
        <w:ind w:left="720"/>
        <w:rPr>
          <w:i/>
          <w:lang w:eastAsia="en-GB"/>
        </w:rPr>
      </w:pPr>
      <w:r w:rsidRPr="00215F1F">
        <w:rPr>
          <w:i/>
          <w:lang w:eastAsia="en-GB"/>
        </w:rPr>
        <w:lastRenderedPageBreak/>
        <w:t>“Please imagine an unemployed couple with two children, aged 6 and 10.  Excluding housing costs, approximately how much money do you think they need to live on PER WEEK</w:t>
      </w:r>
      <w:proofErr w:type="gramStart"/>
      <w:r w:rsidRPr="00215F1F">
        <w:rPr>
          <w:i/>
          <w:lang w:eastAsia="en-GB"/>
        </w:rPr>
        <w:t>?</w:t>
      </w:r>
      <w:r>
        <w:rPr>
          <w:i/>
          <w:lang w:eastAsia="en-GB"/>
        </w:rPr>
        <w:t>...</w:t>
      </w:r>
      <w:proofErr w:type="gramEnd"/>
      <w:r>
        <w:rPr>
          <w:i/>
          <w:lang w:eastAsia="en-GB"/>
        </w:rPr>
        <w:t xml:space="preserve"> </w:t>
      </w:r>
    </w:p>
    <w:p w14:paraId="508A1F8C" w14:textId="77777777" w:rsidR="00215F1F" w:rsidRDefault="00215F1F" w:rsidP="00215F1F">
      <w:pPr>
        <w:ind w:left="720"/>
        <w:rPr>
          <w:i/>
          <w:lang w:eastAsia="en-GB"/>
        </w:rPr>
      </w:pPr>
      <w:r>
        <w:rPr>
          <w:i/>
          <w:lang w:eastAsia="en-GB"/>
        </w:rPr>
        <w:t>“</w:t>
      </w:r>
      <w:r w:rsidRPr="00215F1F">
        <w:rPr>
          <w:i/>
          <w:lang w:eastAsia="en-GB"/>
        </w:rPr>
        <w:t xml:space="preserve">Thinking again of the unemployed couple with two children, aged 6 and 10. Excluding any other benefits such as housing, council tax or child benefits, approximately how much do you think they would receive in unemployment benefit (Jobseeker’s Allowance) PER WEEK? </w:t>
      </w:r>
      <w:r>
        <w:rPr>
          <w:i/>
          <w:lang w:eastAsia="en-GB"/>
        </w:rPr>
        <w:t>(</w:t>
      </w:r>
      <w:r w:rsidRPr="00215F1F">
        <w:rPr>
          <w:i/>
          <w:lang w:eastAsia="en-GB"/>
        </w:rPr>
        <w:t>Even if you are not sure, please just give your best guess and answer in whole numbers, you do not need to include the £ sign.)”</w:t>
      </w:r>
    </w:p>
    <w:p w14:paraId="1D1120E2" w14:textId="77777777" w:rsidR="00215F1F" w:rsidRDefault="00215F1F" w:rsidP="00215F1F">
      <w:pPr>
        <w:ind w:left="720"/>
        <w:rPr>
          <w:i/>
          <w:lang w:eastAsia="en-GB"/>
        </w:rPr>
      </w:pPr>
      <w:r>
        <w:rPr>
          <w:i/>
          <w:lang w:eastAsia="en-GB"/>
        </w:rPr>
        <w:t>“</w:t>
      </w:r>
      <w:r w:rsidRPr="00215F1F">
        <w:rPr>
          <w:rFonts w:ascii="Calibri" w:eastAsia="Times New Roman" w:hAnsi="Calibri" w:cs="Times New Roman"/>
          <w:i/>
          <w:iCs/>
          <w:color w:val="000000"/>
          <w:szCs w:val="22"/>
          <w:lang w:eastAsia="en-GB"/>
        </w:rPr>
        <w:t xml:space="preserve">Thinking again of the unemployed couple with two </w:t>
      </w:r>
      <w:proofErr w:type="gramStart"/>
      <w:r w:rsidRPr="00215F1F">
        <w:rPr>
          <w:rFonts w:ascii="Calibri" w:eastAsia="Times New Roman" w:hAnsi="Calibri" w:cs="Times New Roman"/>
          <w:i/>
          <w:iCs/>
          <w:color w:val="000000"/>
          <w:szCs w:val="22"/>
          <w:lang w:eastAsia="en-GB"/>
        </w:rPr>
        <w:t>children,</w:t>
      </w:r>
      <w:proofErr w:type="gramEnd"/>
      <w:r w:rsidRPr="00215F1F">
        <w:rPr>
          <w:rFonts w:ascii="Calibri" w:eastAsia="Times New Roman" w:hAnsi="Calibri" w:cs="Times New Roman"/>
          <w:i/>
          <w:iCs/>
          <w:color w:val="000000"/>
          <w:szCs w:val="22"/>
          <w:lang w:eastAsia="en-GB"/>
        </w:rPr>
        <w:t xml:space="preserve"> aged 6 and 10, if one of the parents got a job paying the minimum wage for 30 hours a week, in general, do you think they would be financially better or worse off or would there be no difference? -&gt; Better off | Worse off | No difference | </w:t>
      </w:r>
      <w:proofErr w:type="gramStart"/>
      <w:r w:rsidRPr="00215F1F">
        <w:rPr>
          <w:rFonts w:ascii="Calibri" w:eastAsia="Times New Roman" w:hAnsi="Calibri" w:cs="Times New Roman"/>
          <w:i/>
          <w:iCs/>
          <w:color w:val="000000"/>
          <w:szCs w:val="22"/>
          <w:lang w:eastAsia="en-GB"/>
        </w:rPr>
        <w:t>Don't</w:t>
      </w:r>
      <w:proofErr w:type="gramEnd"/>
      <w:r w:rsidRPr="00215F1F">
        <w:rPr>
          <w:rFonts w:ascii="Calibri" w:eastAsia="Times New Roman" w:hAnsi="Calibri" w:cs="Times New Roman"/>
          <w:i/>
          <w:iCs/>
          <w:color w:val="000000"/>
          <w:szCs w:val="22"/>
          <w:lang w:eastAsia="en-GB"/>
        </w:rPr>
        <w:t xml:space="preserve"> know</w:t>
      </w:r>
    </w:p>
    <w:p w14:paraId="6B2A947B" w14:textId="1C869BED" w:rsidR="00215F1F" w:rsidRDefault="00215F1F" w:rsidP="00215F1F">
      <w:pPr>
        <w:ind w:left="720"/>
        <w:rPr>
          <w:rFonts w:ascii="Calibri" w:eastAsia="Times New Roman" w:hAnsi="Calibri" w:cs="Times New Roman"/>
          <w:i/>
          <w:iCs/>
          <w:color w:val="000000"/>
          <w:szCs w:val="22"/>
          <w:lang w:eastAsia="en-GB"/>
        </w:rPr>
      </w:pPr>
      <w:r>
        <w:rPr>
          <w:i/>
          <w:lang w:eastAsia="en-GB"/>
        </w:rPr>
        <w:t>[FILTERED BY RESPONSE TO PREVIOUS Q]: “</w:t>
      </w:r>
      <w:r w:rsidRPr="00215F1F">
        <w:rPr>
          <w:rFonts w:ascii="Calibri" w:eastAsia="Times New Roman" w:hAnsi="Calibri" w:cs="Times New Roman"/>
          <w:i/>
          <w:iCs/>
          <w:color w:val="000000"/>
          <w:szCs w:val="22"/>
          <w:lang w:eastAsia="en-GB"/>
        </w:rPr>
        <w:t xml:space="preserve">Approximately, by how much do you think that they would </w:t>
      </w:r>
      <w:r>
        <w:rPr>
          <w:rFonts w:ascii="Calibri" w:eastAsia="Times New Roman" w:hAnsi="Calibri" w:cs="Times New Roman"/>
          <w:i/>
          <w:iCs/>
          <w:color w:val="000000"/>
          <w:szCs w:val="22"/>
          <w:lang w:eastAsia="en-GB"/>
        </w:rPr>
        <w:t>[</w:t>
      </w:r>
      <w:r w:rsidRPr="00215F1F">
        <w:rPr>
          <w:rFonts w:ascii="Calibri" w:eastAsia="Times New Roman" w:hAnsi="Calibri" w:cs="Times New Roman"/>
          <w:i/>
          <w:iCs/>
          <w:color w:val="000000"/>
          <w:szCs w:val="22"/>
          <w:lang w:eastAsia="en-GB"/>
        </w:rPr>
        <w:t>better off</w:t>
      </w:r>
      <w:r>
        <w:rPr>
          <w:rFonts w:ascii="Calibri" w:eastAsia="Times New Roman" w:hAnsi="Calibri" w:cs="Times New Roman"/>
          <w:i/>
          <w:iCs/>
          <w:color w:val="000000"/>
          <w:szCs w:val="22"/>
          <w:lang w:eastAsia="en-GB"/>
        </w:rPr>
        <w:t>/worse off]</w:t>
      </w:r>
      <w:r w:rsidRPr="00215F1F">
        <w:rPr>
          <w:rFonts w:ascii="Calibri" w:eastAsia="Times New Roman" w:hAnsi="Calibri" w:cs="Times New Roman"/>
          <w:i/>
          <w:iCs/>
          <w:color w:val="000000"/>
          <w:szCs w:val="22"/>
          <w:lang w:eastAsia="en-GB"/>
        </w:rPr>
        <w:t xml:space="preserve"> PER WEEK? (Even if you are not sure, please just give your best guess and answer in whole numbers, you do not need to include the £ sign.)</w:t>
      </w:r>
      <w:r>
        <w:rPr>
          <w:rFonts w:ascii="Calibri" w:eastAsia="Times New Roman" w:hAnsi="Calibri" w:cs="Times New Roman"/>
          <w:i/>
          <w:iCs/>
          <w:color w:val="000000"/>
          <w:szCs w:val="22"/>
          <w:lang w:eastAsia="en-GB"/>
        </w:rPr>
        <w:t>”</w:t>
      </w:r>
    </w:p>
    <w:p w14:paraId="6D5AC6CC" w14:textId="77777777" w:rsidR="00207764" w:rsidRDefault="00207764" w:rsidP="00207764">
      <w:pPr>
        <w:rPr>
          <w:lang w:eastAsia="en-GB"/>
        </w:rPr>
      </w:pPr>
    </w:p>
    <w:p w14:paraId="160E360A" w14:textId="64C825B0" w:rsidR="00207764" w:rsidRDefault="00207764" w:rsidP="00207764">
      <w:pPr>
        <w:pStyle w:val="Heading3"/>
        <w:rPr>
          <w:rFonts w:eastAsia="Times New Roman"/>
          <w:lang w:eastAsia="en-GB"/>
        </w:rPr>
      </w:pPr>
      <w:r>
        <w:rPr>
          <w:rFonts w:eastAsia="Times New Roman"/>
          <w:lang w:eastAsia="en-GB"/>
        </w:rPr>
        <w:t>Other questions</w:t>
      </w:r>
    </w:p>
    <w:p w14:paraId="7A6A8DA0" w14:textId="0A71413B" w:rsidR="00207764" w:rsidRDefault="00207764" w:rsidP="00207764">
      <w:pPr>
        <w:rPr>
          <w:lang w:eastAsia="en-GB"/>
        </w:rPr>
      </w:pPr>
      <w:r>
        <w:rPr>
          <w:lang w:eastAsia="en-GB"/>
        </w:rPr>
        <w:t>The 2012 YouGov survey (sponsored by the TUC) asks:</w:t>
      </w:r>
    </w:p>
    <w:p w14:paraId="4E897599" w14:textId="6E46EED1" w:rsidR="00207764" w:rsidRPr="00207764" w:rsidRDefault="00207764" w:rsidP="00207764">
      <w:pPr>
        <w:ind w:left="720"/>
        <w:rPr>
          <w:i/>
          <w:lang w:eastAsia="en-GB"/>
        </w:rPr>
      </w:pPr>
      <w:r w:rsidRPr="00207764">
        <w:rPr>
          <w:i/>
        </w:rPr>
        <w:t>“The next question is about Jobseeker’s Allowance, the benefit you claim if you are unemployed. Out of every 100 people who sign on to make a claim for Jobseeker’s Allowance, approximately how many do you think go on to receive it for more than a year? (For example, if you think that half of people who make a claim for Jobseeker’s Allowance then go on to claim it for more than a year, your answer would be 50. Even if you are not sure, please just give your best guess and answer in whole numbers)</w:t>
      </w:r>
      <w:r>
        <w:rPr>
          <w:i/>
        </w:rPr>
        <w:t>”</w:t>
      </w:r>
    </w:p>
    <w:p w14:paraId="537C34AD" w14:textId="77777777" w:rsidR="00215F1F" w:rsidRPr="00215F1F" w:rsidRDefault="00215F1F" w:rsidP="00215F1F">
      <w:pPr>
        <w:ind w:left="720"/>
        <w:rPr>
          <w:i/>
          <w:lang w:eastAsia="en-GB"/>
        </w:rPr>
      </w:pPr>
    </w:p>
    <w:p w14:paraId="002B4652" w14:textId="77777777" w:rsidR="00215F1F" w:rsidRPr="00215F1F" w:rsidRDefault="00215F1F" w:rsidP="00215F1F"/>
    <w:p w14:paraId="13708D37" w14:textId="1330BE0D" w:rsidR="00E5618D" w:rsidRDefault="00E5618D" w:rsidP="00BD4E09">
      <w:pPr>
        <w:pStyle w:val="Heading3"/>
      </w:pPr>
      <w:r>
        <w:br w:type="page"/>
      </w:r>
    </w:p>
    <w:p w14:paraId="5FE62D01" w14:textId="77777777" w:rsidR="00E5618D" w:rsidRDefault="00E5618D" w:rsidP="00E5618D">
      <w:pPr>
        <w:pStyle w:val="Heading2"/>
      </w:pPr>
      <w:bookmarkStart w:id="5" w:name="_Toc429734543"/>
      <w:r>
        <w:lastRenderedPageBreak/>
        <w:t>True values (and their associated uncertainty)</w:t>
      </w:r>
      <w:bookmarkEnd w:id="5"/>
    </w:p>
    <w:p w14:paraId="10BC2DFF" w14:textId="77777777" w:rsidR="003E2254" w:rsidRDefault="003E2254" w:rsidP="0062105B">
      <w:pPr>
        <w:rPr>
          <w:i/>
        </w:rPr>
      </w:pPr>
      <w:r>
        <w:rPr>
          <w:i/>
        </w:rPr>
        <w:t>Notes:</w:t>
      </w:r>
    </w:p>
    <w:p w14:paraId="1C5957C8" w14:textId="1B2662F3" w:rsidR="0062105B" w:rsidRDefault="0062105B" w:rsidP="003E2254">
      <w:pPr>
        <w:pStyle w:val="ListParagraph"/>
        <w:numPr>
          <w:ilvl w:val="0"/>
          <w:numId w:val="5"/>
        </w:numPr>
        <w:rPr>
          <w:i/>
        </w:rPr>
      </w:pPr>
      <w:r w:rsidRPr="003E2254">
        <w:rPr>
          <w:i/>
        </w:rPr>
        <w:t>All electronic sources are last accessed on 21/7/2015 unless otherwise specified.</w:t>
      </w:r>
    </w:p>
    <w:p w14:paraId="6212E08A" w14:textId="77777777" w:rsidR="0011658C" w:rsidRDefault="003E2254" w:rsidP="003E2254">
      <w:pPr>
        <w:pStyle w:val="ListParagraph"/>
        <w:numPr>
          <w:ilvl w:val="0"/>
          <w:numId w:val="5"/>
        </w:numPr>
        <w:rPr>
          <w:i/>
        </w:rPr>
      </w:pPr>
      <w:r>
        <w:rPr>
          <w:i/>
        </w:rPr>
        <w:t xml:space="preserve">‘Working-age population’ refers to the 16-64 year-old population unless otherwise specified.  (For a discussion of the changing definition of ‘working-age population’ as women’s State Pension Age rises, see </w:t>
      </w:r>
      <w:hyperlink r:id="rId13" w:history="1">
        <w:r w:rsidRPr="0061637C">
          <w:rPr>
            <w:rStyle w:val="Hyperlink"/>
            <w:i/>
          </w:rPr>
          <w:t>http://cesi.org.uk/blog/2014/sep/are-employmentinactivity-rates-near-records-paul-bivand-looks-figures-little-more-clos</w:t>
        </w:r>
      </w:hyperlink>
      <w:r>
        <w:rPr>
          <w:i/>
        </w:rPr>
        <w:t>)</w:t>
      </w:r>
    </w:p>
    <w:p w14:paraId="4154F117" w14:textId="7FD87A2C" w:rsidR="003E2254" w:rsidRDefault="0011658C" w:rsidP="003E2254">
      <w:pPr>
        <w:pStyle w:val="ListParagraph"/>
        <w:numPr>
          <w:ilvl w:val="0"/>
          <w:numId w:val="5"/>
        </w:numPr>
        <w:rPr>
          <w:i/>
        </w:rPr>
      </w:pPr>
      <w:r>
        <w:rPr>
          <w:i/>
        </w:rPr>
        <w:t>The purpose of making these calculations publicly available is to maximise transparency (something we are strongly committed to) and to enable other people to build on this paper. It does inevitably raise the possibility that other people will spot errors that would otherwise have been concealed.  As such, if you do spot any errors, then please do let us know!</w:t>
      </w:r>
    </w:p>
    <w:p w14:paraId="29BB3D3E" w14:textId="20E6D3D8" w:rsidR="00056F99" w:rsidRPr="003E2254" w:rsidRDefault="00056F99" w:rsidP="003E2254">
      <w:pPr>
        <w:pStyle w:val="ListParagraph"/>
        <w:numPr>
          <w:ilvl w:val="0"/>
          <w:numId w:val="5"/>
        </w:numPr>
        <w:rPr>
          <w:i/>
        </w:rPr>
      </w:pPr>
      <w:r>
        <w:rPr>
          <w:i/>
        </w:rPr>
        <w:t xml:space="preserve">The working underlying these figures are given in a series of Web Tables, which are available from </w:t>
      </w:r>
      <w:r w:rsidRPr="00056F99">
        <w:rPr>
          <w:i/>
          <w:highlight w:val="yellow"/>
        </w:rPr>
        <w:t>[website]</w:t>
      </w:r>
      <w:r>
        <w:rPr>
          <w:i/>
        </w:rPr>
        <w:t xml:space="preserve"> </w:t>
      </w:r>
    </w:p>
    <w:p w14:paraId="2A895405" w14:textId="77777777" w:rsidR="00E5618D" w:rsidRDefault="00E5618D" w:rsidP="00E5618D">
      <w:pPr>
        <w:pStyle w:val="Heading4"/>
      </w:pPr>
      <w:r>
        <w:t>Benefits fraud</w:t>
      </w:r>
    </w:p>
    <w:p w14:paraId="044DF486" w14:textId="7D831D71" w:rsidR="00F1243B" w:rsidRDefault="00F1243B" w:rsidP="00F1243B">
      <w:r>
        <w:t>The official estimates for fraud for the most recent period are taken from the DWP’s report ‘Fraud and Error in the Benefits System: 2012/13 estimates’.</w:t>
      </w:r>
      <w:r>
        <w:rPr>
          <w:rStyle w:val="FootnoteReference"/>
        </w:rPr>
        <w:footnoteReference w:id="1"/>
      </w:r>
      <w:r>
        <w:t xml:space="preserve">  </w:t>
      </w:r>
      <w:r w:rsidR="00341787">
        <w:t xml:space="preserve">This publication also describes how these estimates are created, and the principles by which ‘fraud’ is inferred from reviewed cases (see p10). </w:t>
      </w:r>
      <w:r>
        <w:t>For the 2007 estimates for comparing to BSA, we use the equivalent publication for 2007/8.</w:t>
      </w:r>
      <w:r>
        <w:rPr>
          <w:rStyle w:val="FootnoteReference"/>
        </w:rPr>
        <w:footnoteReference w:id="2"/>
      </w:r>
      <w:r>
        <w:t xml:space="preserve">  For estimates of tax credit fraud, we use Table 3 of HRMC (2014), ‘Child and Working Tax Credits: Error and Fraud Statistics 2012-13’.</w:t>
      </w:r>
      <w:r>
        <w:rPr>
          <w:rStyle w:val="FootnoteReference"/>
        </w:rPr>
        <w:footnoteReference w:id="3"/>
      </w:r>
      <w:r>
        <w:t xml:space="preserve"> </w:t>
      </w:r>
    </w:p>
    <w:p w14:paraId="04B0E8F9" w14:textId="3E8FAF03" w:rsidR="00F1243B" w:rsidRDefault="00F1243B" w:rsidP="00F1243B">
      <w:r>
        <w:t xml:space="preserve">When people are reporting a ‘true’ figure alongside a poll {see the </w:t>
      </w:r>
      <w:proofErr w:type="spellStart"/>
      <w:r>
        <w:t>topline</w:t>
      </w:r>
      <w:proofErr w:type="spellEnd"/>
      <w:r>
        <w:t xml:space="preserve"> figures via \Duffy, 2013 #596}{TUC, 2013 #597}, they tend to say that the true fraud figure is 0.7%, which is the overall estimated rate of benefit fraud produced by the DWP in the sources above.  However, </w:t>
      </w:r>
      <w:r w:rsidR="00B524AC">
        <w:t xml:space="preserve">this includes all benefits, whereas the questions tend to have a different focus – sometimes wider (including tax credits, in YouGov/TUC 2012), and sometimes narrower (‘welfare’, ‘out-of-work benefits’, or even ‘unemployment benefits’).  We make sure that we take the appropriate fraud rate for each question, and document this transparently – further details are given in Web </w:t>
      </w:r>
      <w:r w:rsidR="00033D2C">
        <w:t>Tables</w:t>
      </w:r>
      <w:r w:rsidR="00B524AC">
        <w:t xml:space="preserve"> 4a.</w:t>
      </w:r>
    </w:p>
    <w:p w14:paraId="7DD026A7" w14:textId="3195E3CC" w:rsidR="00386A42" w:rsidRDefault="00386A42" w:rsidP="00F1243B">
      <w:r>
        <w:t xml:space="preserve">Note that </w:t>
      </w:r>
      <w:r w:rsidR="003E596F">
        <w:t>the bands for ‘correct’ answers are the same – 0-10% – whether we use narrowly-defined fraud, or fraud + customer error (see Web Tables 4a).</w:t>
      </w:r>
    </w:p>
    <w:p w14:paraId="769964B6" w14:textId="77777777" w:rsidR="006C34B2" w:rsidRDefault="006C34B2" w:rsidP="00F1243B"/>
    <w:p w14:paraId="68CEA5C3" w14:textId="77777777" w:rsidR="00E5618D" w:rsidRDefault="00E5618D" w:rsidP="00E5618D">
      <w:pPr>
        <w:pStyle w:val="Heading4"/>
      </w:pPr>
      <w:r>
        <w:t>Public spending</w:t>
      </w:r>
      <w:r w:rsidR="0062105B">
        <w:t xml:space="preserve"> on </w:t>
      </w:r>
      <w:r w:rsidR="00B27974">
        <w:t>benefits</w:t>
      </w:r>
    </w:p>
    <w:p w14:paraId="5ABA1237" w14:textId="77777777" w:rsidR="00E5618D" w:rsidRDefault="00E5618D" w:rsidP="00E5618D">
      <w:r>
        <w:t xml:space="preserve">Public finance statistics on the amount of Government spending that is allocated to different functions is easily available within </w:t>
      </w:r>
      <w:r w:rsidR="0062105B">
        <w:t>the Public Expenditure Statistical Analyses (PESA)</w:t>
      </w:r>
      <w:r w:rsidR="00586387">
        <w:t>.  F</w:t>
      </w:r>
      <w:r w:rsidR="0062105B">
        <w:t>or comparing to the BSA 2001 survey, we use PESA 2000-1</w:t>
      </w:r>
      <w:r w:rsidR="00586387">
        <w:t>,</w:t>
      </w:r>
      <w:r w:rsidR="0062105B">
        <w:rPr>
          <w:rStyle w:val="FootnoteReference"/>
        </w:rPr>
        <w:footnoteReference w:id="4"/>
      </w:r>
      <w:r w:rsidR="00586387">
        <w:t xml:space="preserve"> while for the </w:t>
      </w:r>
      <w:proofErr w:type="spellStart"/>
      <w:r w:rsidR="00586387">
        <w:t>Ipsos</w:t>
      </w:r>
      <w:proofErr w:type="spellEnd"/>
      <w:r w:rsidR="00586387">
        <w:t xml:space="preserve"> MORI/RSS/KCL 2013 survey, we use PESA 2011-12.</w:t>
      </w:r>
      <w:r w:rsidR="00586387">
        <w:rPr>
          <w:rStyle w:val="FootnoteReference"/>
        </w:rPr>
        <w:footnoteReference w:id="5"/>
      </w:r>
      <w:r w:rsidR="0062105B">
        <w:t xml:space="preserve"> </w:t>
      </w:r>
      <w:r w:rsidR="00B27974">
        <w:t xml:space="preserve">  Similarly, expenditure on different benefits is available from </w:t>
      </w:r>
      <w:r>
        <w:t xml:space="preserve">the official Benefit </w:t>
      </w:r>
      <w:r>
        <w:lastRenderedPageBreak/>
        <w:t>Expenditure &amp; Caseload tables; we use the version published along</w:t>
      </w:r>
      <w:r w:rsidR="00B27974">
        <w:t>side the 2013 Autumn Statement</w:t>
      </w:r>
      <w:r>
        <w:t>.</w:t>
      </w:r>
      <w:r w:rsidR="00B27974">
        <w:rPr>
          <w:rStyle w:val="FootnoteReference"/>
        </w:rPr>
        <w:footnoteReference w:id="6"/>
      </w:r>
      <w:r>
        <w:t xml:space="preserve"> </w:t>
      </w:r>
      <w:r w:rsidR="00B27974">
        <w:t xml:space="preserve"> </w:t>
      </w:r>
      <w:r>
        <w:t>However, there are two further challenges.</w:t>
      </w:r>
    </w:p>
    <w:p w14:paraId="2F59A2CB" w14:textId="77777777" w:rsidR="0062105B" w:rsidRPr="00E5618D" w:rsidRDefault="00E5618D" w:rsidP="0062105B">
      <w:r>
        <w:t xml:space="preserve">Firstly, these benefit tables do not include expenditure on Tax Credits.  </w:t>
      </w:r>
      <w:r w:rsidR="0062105B">
        <w:t>To get figures on Tax Credit spending split by client groups, we primarily use ‘Personal tax credit statistics - finalised awards 2012-2013’.</w:t>
      </w:r>
      <w:r w:rsidR="00B27974">
        <w:rPr>
          <w:rStyle w:val="FootnoteReference"/>
        </w:rPr>
        <w:footnoteReference w:id="7"/>
      </w:r>
      <w:r w:rsidR="0062105B">
        <w:t xml:space="preserve">  For 2001 data, we also use the publications on the Working Families Tax Credit and the Disabled Person's Tax Credit</w:t>
      </w:r>
      <w:r w:rsidR="00B27974">
        <w:t>.</w:t>
      </w:r>
      <w:r w:rsidR="00B27974">
        <w:rPr>
          <w:rStyle w:val="FootnoteReference"/>
        </w:rPr>
        <w:footnoteReference w:id="8"/>
      </w:r>
      <w:r w:rsidR="0062105B">
        <w:t xml:space="preserve">   </w:t>
      </w:r>
      <w:r w:rsidR="00326D3E">
        <w:t>This step appears not to have been taken when some of the previous claims have been made, resulting in mistaken claims of ‘true values’.</w:t>
      </w:r>
    </w:p>
    <w:p w14:paraId="1CC72548" w14:textId="77777777" w:rsidR="00135C54" w:rsidRDefault="00F4333B" w:rsidP="00135C54">
      <w:r>
        <w:t>Second</w:t>
      </w:r>
      <w:r w:rsidR="0062105B">
        <w:t xml:space="preserve">, </w:t>
      </w:r>
      <w:r w:rsidR="00B27974">
        <w:t xml:space="preserve">and most importantly, </w:t>
      </w:r>
      <w:r w:rsidR="0062105B">
        <w:t xml:space="preserve">allocating each of the headings in these tables to particular categories like ‘benefits for unemployed people’ can be </w:t>
      </w:r>
      <w:r w:rsidR="003304E9">
        <w:t>difficult</w:t>
      </w:r>
      <w:r w:rsidR="0062105B">
        <w:t>.</w:t>
      </w:r>
      <w:r>
        <w:t xml:space="preserve">  If we just look at benefits that are specifically labelled as ‘unemployment benefits’ (in our case, Jobseeker’s Allowance, ‘JSA’), then we miss spending on Housing Benefit for unemployed people – a critique that Taunton-Collins</w:t>
      </w:r>
      <w:r w:rsidRPr="00FF2934">
        <w:t xml:space="preserve"> </w:t>
      </w:r>
      <w:r>
        <w:t>{</w:t>
      </w:r>
      <w:r w:rsidRPr="00FF2934">
        <w:t>2013 #579</w:t>
      </w:r>
      <w:r>
        <w:t>} makes of the TUC study.  We therefore combine spending as follows:</w:t>
      </w:r>
    </w:p>
    <w:p w14:paraId="1EEE0556" w14:textId="77777777" w:rsidR="00F4333B" w:rsidRDefault="00F4333B" w:rsidP="00F4333B">
      <w:pPr>
        <w:pStyle w:val="ListParagraph"/>
        <w:numPr>
          <w:ilvl w:val="0"/>
          <w:numId w:val="5"/>
        </w:numPr>
      </w:pPr>
      <w:r w:rsidRPr="00F4333B">
        <w:rPr>
          <w:i/>
        </w:rPr>
        <w:t xml:space="preserve">‘Benefits for </w:t>
      </w:r>
      <w:r w:rsidR="003304E9">
        <w:rPr>
          <w:i/>
        </w:rPr>
        <w:t xml:space="preserve">the </w:t>
      </w:r>
      <w:r w:rsidRPr="00F4333B">
        <w:rPr>
          <w:i/>
        </w:rPr>
        <w:t>unemployed’</w:t>
      </w:r>
      <w:r>
        <w:t xml:space="preserve"> (for both BSA 2001 and YouGov/TUC 2012): JSA, and the relevant portions of Income Support, Council Tax Benefit, Housing Benefit, and Tax Credits. NOTE that we were unable to get any estimates for the share of the social housing subsidy (separate to Housing Benefit) that is spent on unemployed people.</w:t>
      </w:r>
    </w:p>
    <w:p w14:paraId="2C4F8757" w14:textId="77777777" w:rsidR="003304E9" w:rsidRDefault="003304E9" w:rsidP="003304E9">
      <w:pPr>
        <w:pStyle w:val="ListParagraph"/>
        <w:numPr>
          <w:ilvl w:val="0"/>
          <w:numId w:val="5"/>
        </w:numPr>
        <w:rPr>
          <w:i/>
        </w:rPr>
      </w:pPr>
      <w:r w:rsidRPr="003304E9">
        <w:rPr>
          <w:i/>
        </w:rPr>
        <w:t>Retirement pensions</w:t>
      </w:r>
      <w:r>
        <w:t>: the Basic State Pension and</w:t>
      </w:r>
      <w:r w:rsidRPr="003304E9">
        <w:rPr>
          <w:i/>
        </w:rPr>
        <w:t xml:space="preserve"> </w:t>
      </w:r>
      <w:r>
        <w:t>War Pensions (excluding the Pension Credit).</w:t>
      </w:r>
    </w:p>
    <w:p w14:paraId="0207D8F2" w14:textId="77777777" w:rsidR="003304E9" w:rsidRDefault="003304E9" w:rsidP="003304E9">
      <w:pPr>
        <w:pStyle w:val="ListParagraph"/>
        <w:numPr>
          <w:ilvl w:val="0"/>
          <w:numId w:val="5"/>
        </w:numPr>
        <w:rPr>
          <w:i/>
        </w:rPr>
      </w:pPr>
      <w:r>
        <w:rPr>
          <w:i/>
        </w:rPr>
        <w:t>Child benefits</w:t>
      </w:r>
      <w:r>
        <w:t>: Child Benefit, the child elements in Income Support and JSA, and miscellaneous other child-focused benefits (primarily Disability Living Allowance for children).</w:t>
      </w:r>
    </w:p>
    <w:p w14:paraId="021A6235" w14:textId="77777777" w:rsidR="003304E9" w:rsidRDefault="003304E9" w:rsidP="003304E9">
      <w:pPr>
        <w:pStyle w:val="ListParagraph"/>
        <w:numPr>
          <w:ilvl w:val="0"/>
          <w:numId w:val="5"/>
        </w:numPr>
        <w:rPr>
          <w:i/>
        </w:rPr>
      </w:pPr>
      <w:r>
        <w:rPr>
          <w:i/>
        </w:rPr>
        <w:t>Benefits for disabled people</w:t>
      </w:r>
      <w:r>
        <w:t>: out-of-work incapacity benefits (Employment and Support Allowance, Severe Disablement Allowance, Incapacity Benefit), extra cost disability benefits for working-age people (Disability Living Allowance/Personal Independence Payment) and pensioners (DLA and Attendance Allowance), Statutory Sick Pay, and the relevant portions of Council Tax Benefit and Housing Benefit.  NOTE that we were unable to get any estimates for the share of the social housing subsidy (separate to Housing Benefit) that is spent on unemployed people.</w:t>
      </w:r>
    </w:p>
    <w:p w14:paraId="493637C3" w14:textId="77777777" w:rsidR="00F4333B" w:rsidRPr="003304E9" w:rsidRDefault="003304E9" w:rsidP="003304E9">
      <w:pPr>
        <w:pStyle w:val="ListParagraph"/>
        <w:numPr>
          <w:ilvl w:val="0"/>
          <w:numId w:val="5"/>
        </w:numPr>
        <w:rPr>
          <w:i/>
        </w:rPr>
      </w:pPr>
      <w:r w:rsidRPr="003304E9">
        <w:rPr>
          <w:i/>
        </w:rPr>
        <w:t>Benefits for single parents</w:t>
      </w:r>
      <w:r>
        <w:t>: Income Support for Lone Parents (including child elements), and the relevant portions of Council Tax Benefit and Housing Benefit. NOTE that we were unable to get any estimates for the share of the social housing subsidy (separate to Housing Benefit) that is spent on unemployed people.</w:t>
      </w:r>
    </w:p>
    <w:p w14:paraId="1A8B9ED4" w14:textId="6AB17134" w:rsidR="001D0785" w:rsidRDefault="003304E9" w:rsidP="00326D3E">
      <w:r>
        <w:t>These categories are not mutually exclusive, so some spending is double-counted under multiple headings.  There is also room for debate about exactly which categories should be allocated to which heading, although the areas of possible dispute are relatively small and unlikely to noticeably change our findings.  Full details are giv</w:t>
      </w:r>
      <w:r w:rsidR="00B524AC">
        <w:t xml:space="preserve">en in the attached spreadsheet, </w:t>
      </w:r>
      <w:r>
        <w:t xml:space="preserve">Web </w:t>
      </w:r>
      <w:r w:rsidR="00033D2C">
        <w:t>Tables</w:t>
      </w:r>
      <w:r>
        <w:t xml:space="preserve"> 4</w:t>
      </w:r>
      <w:r w:rsidR="00B524AC">
        <w:t>b</w:t>
      </w:r>
      <w:r w:rsidR="00326D3E">
        <w:t xml:space="preserve">.  </w:t>
      </w:r>
      <w:r w:rsidR="001D0785">
        <w:t xml:space="preserve"> </w:t>
      </w:r>
      <w:r w:rsidR="00326D3E">
        <w:t xml:space="preserve">Similar issues also apply to the grouping of public spending categories using the PESA data, </w:t>
      </w:r>
      <w:r w:rsidR="00EE7F03">
        <w:t xml:space="preserve">which </w:t>
      </w:r>
      <w:r w:rsidR="00326D3E">
        <w:t xml:space="preserve">are </w:t>
      </w:r>
      <w:r w:rsidR="00EE7F03">
        <w:t xml:space="preserve">detailed </w:t>
      </w:r>
      <w:r w:rsidR="00326D3E">
        <w:t xml:space="preserve">in Web </w:t>
      </w:r>
      <w:r w:rsidR="00033D2C">
        <w:t xml:space="preserve">Tables </w:t>
      </w:r>
      <w:r w:rsidR="00326D3E">
        <w:t>4</w:t>
      </w:r>
      <w:r w:rsidR="00B524AC">
        <w:t>c</w:t>
      </w:r>
      <w:r w:rsidR="00326D3E">
        <w:t xml:space="preserve">.  </w:t>
      </w:r>
    </w:p>
    <w:p w14:paraId="461EAF28" w14:textId="46A04FAF" w:rsidR="003304E9" w:rsidRDefault="001D0785" w:rsidP="00326D3E">
      <w:r>
        <w:lastRenderedPageBreak/>
        <w:t>T</w:t>
      </w:r>
      <w:r w:rsidR="00326D3E">
        <w:t xml:space="preserve">here are certain areas in which we disagree with the ‘true’ figures </w:t>
      </w:r>
      <w:r w:rsidR="00A4228B">
        <w:t>claimed in other sources</w:t>
      </w:r>
      <w:r>
        <w:t>.  For the overall expenditure figures</w:t>
      </w:r>
      <w:r w:rsidR="00EE7F03">
        <w:t xml:space="preserve"> (i</w:t>
      </w:r>
      <w:r w:rsidR="00A4228B">
        <w:t xml:space="preserve">n the case of </w:t>
      </w:r>
      <w:proofErr w:type="spellStart"/>
      <w:r w:rsidR="00A4228B">
        <w:t>Ipsos</w:t>
      </w:r>
      <w:proofErr w:type="spellEnd"/>
      <w:r w:rsidR="00A4228B">
        <w:t xml:space="preserve"> MORI 2013</w:t>
      </w:r>
      <w:r w:rsidR="00EE7F03">
        <w:t>)</w:t>
      </w:r>
      <w:r>
        <w:t>,</w:t>
      </w:r>
      <w:r w:rsidR="00A4228B">
        <w:t xml:space="preserve"> these have no impact on the results</w:t>
      </w:r>
      <w:r w:rsidR="00EE7F03">
        <w:t>.</w:t>
      </w:r>
      <w:r w:rsidR="00A4228B">
        <w:rPr>
          <w:rStyle w:val="FootnoteReference"/>
        </w:rPr>
        <w:footnoteReference w:id="9"/>
      </w:r>
      <w:r w:rsidR="00EE7F03">
        <w:t xml:space="preserve"> </w:t>
      </w:r>
      <w:r>
        <w:t xml:space="preserve"> For the split of social security spending on different claimant groups, though, the figures reported in Taylor-Gooby &amp; Hastie {, 2003 #240} seem inaccurate.  The source they cite (DWP 2000) does not lead to the figures they produce; their tables only amount to 55% of total expenditure (thus ignoring much of social security spending); and the figure they give for spending on single parents (0.1% of the total budget) is implausible. </w:t>
      </w:r>
      <w:r w:rsidR="00AA7E03">
        <w:t xml:space="preserve"> In contrast to Taylor-Gooby &amp; Hastie, we treat both ‘benefits for unemployed people’ (at 3% of the total) and ‘benefits for single parents’ (at 7% of the total) as correct answers in the main paper, as they lie considerably below the other groups.</w:t>
      </w:r>
    </w:p>
    <w:p w14:paraId="66C6E057" w14:textId="77777777" w:rsidR="006C34B2" w:rsidRDefault="006C34B2" w:rsidP="00326D3E"/>
    <w:p w14:paraId="2232763D" w14:textId="77777777" w:rsidR="00D26FBB" w:rsidRDefault="00D26FBB" w:rsidP="00D26FBB">
      <w:pPr>
        <w:pStyle w:val="Heading4"/>
      </w:pPr>
      <w:r>
        <w:t>Costs/savings of different policy options</w:t>
      </w:r>
    </w:p>
    <w:p w14:paraId="04EEBA6F" w14:textId="77777777" w:rsidR="00354F91" w:rsidRDefault="00354F91" w:rsidP="00354F91">
      <w:r>
        <w:t xml:space="preserve">The 2013 </w:t>
      </w:r>
      <w:proofErr w:type="spellStart"/>
      <w:r>
        <w:t>Ipsos</w:t>
      </w:r>
      <w:proofErr w:type="spellEnd"/>
      <w:r>
        <w:t xml:space="preserve"> MORI/RSS/KCL survey asks respondents to rank the costs/savings from a number of different policies.  The sources for these are given by </w:t>
      </w:r>
      <w:proofErr w:type="spellStart"/>
      <w:r>
        <w:t>Ipsos</w:t>
      </w:r>
      <w:proofErr w:type="spellEnd"/>
      <w:r>
        <w:t xml:space="preserve"> MORI alongside the survey; we have checked these and the sources are all accurate.  In many cases these figures are projections, but the projections are relatively direct and are not dependent on behavioural responses, and are therefore still relatively certain.  The individual sources are:</w:t>
      </w:r>
    </w:p>
    <w:p w14:paraId="5572F79C" w14:textId="77777777" w:rsidR="00354F91" w:rsidRPr="00354F91" w:rsidRDefault="00354F91" w:rsidP="00354F91">
      <w:pPr>
        <w:pStyle w:val="ListParagraph"/>
        <w:numPr>
          <w:ilvl w:val="0"/>
          <w:numId w:val="6"/>
        </w:numPr>
      </w:pPr>
      <w:r w:rsidRPr="00354F91">
        <w:t xml:space="preserve">Capping benefits at £26,000 per </w:t>
      </w:r>
      <w:r>
        <w:t>household: £</w:t>
      </w:r>
      <w:r w:rsidRPr="00354F91">
        <w:t>0.29bn [</w:t>
      </w:r>
      <w:r>
        <w:t>Institute of Fiscal Studies</w:t>
      </w:r>
      <w:r>
        <w:rPr>
          <w:rStyle w:val="FootnoteReference"/>
        </w:rPr>
        <w:footnoteReference w:id="10"/>
      </w:r>
      <w:r w:rsidRPr="00354F91">
        <w:t>]</w:t>
      </w:r>
    </w:p>
    <w:p w14:paraId="3691F9DC" w14:textId="77777777" w:rsidR="00354F91" w:rsidRPr="00354F91" w:rsidRDefault="00354F91" w:rsidP="00354F91">
      <w:pPr>
        <w:pStyle w:val="ListParagraph"/>
        <w:numPr>
          <w:ilvl w:val="0"/>
          <w:numId w:val="6"/>
        </w:numPr>
      </w:pPr>
      <w:r w:rsidRPr="00354F91">
        <w:t>Raising the pension age to 66 for both men and women</w:t>
      </w:r>
      <w:r>
        <w:t>:</w:t>
      </w:r>
      <w:r w:rsidRPr="00354F91">
        <w:t xml:space="preserve"> </w:t>
      </w:r>
      <w:r>
        <w:t>£</w:t>
      </w:r>
      <w:r w:rsidRPr="00354F91">
        <w:t>5bn [</w:t>
      </w:r>
      <w:r>
        <w:t>Institute of Economic Affairs</w:t>
      </w:r>
      <w:r>
        <w:rPr>
          <w:rStyle w:val="FootnoteReference"/>
        </w:rPr>
        <w:footnoteReference w:id="11"/>
      </w:r>
      <w:hyperlink r:id="rId14" w:history="1">
        <w:r w:rsidR="00D72F89" w:rsidRPr="00D72F89">
          <w:rPr>
            <w:rStyle w:val="Hyperlink"/>
            <w:szCs w:val="24"/>
          </w:rPr>
          <w:t>http://www.iea.org.uk/sites/default/files/publications/files/Sharing the burden - how the older generation should suffer its share of the cuts.pdf</w:t>
        </w:r>
      </w:hyperlink>
      <w:r w:rsidRPr="00354F91">
        <w:t>]</w:t>
      </w:r>
    </w:p>
    <w:p w14:paraId="192B2CC3" w14:textId="77777777" w:rsidR="00354F91" w:rsidRPr="00354F91" w:rsidRDefault="00354F91" w:rsidP="00354F91">
      <w:pPr>
        <w:pStyle w:val="ListParagraph"/>
        <w:numPr>
          <w:ilvl w:val="0"/>
          <w:numId w:val="6"/>
        </w:numPr>
      </w:pPr>
      <w:r w:rsidRPr="00354F91">
        <w:t>Stopping child benefit for any household where one parent earns more than £50,000</w:t>
      </w:r>
      <w:r>
        <w:t>:</w:t>
      </w:r>
      <w:r w:rsidRPr="00354F91">
        <w:t xml:space="preserve"> £1.7bn [</w:t>
      </w:r>
      <w:r>
        <w:t>Institute of Fiscal Studies</w:t>
      </w:r>
      <w:bookmarkStart w:id="6" w:name="_Ref425261987"/>
      <w:r>
        <w:rPr>
          <w:rStyle w:val="FootnoteReference"/>
        </w:rPr>
        <w:footnoteReference w:id="12"/>
      </w:r>
      <w:bookmarkEnd w:id="6"/>
      <w:r w:rsidRPr="00354F91">
        <w:t>]</w:t>
      </w:r>
    </w:p>
    <w:p w14:paraId="28610564" w14:textId="77777777" w:rsidR="00354F91" w:rsidRPr="00354F91" w:rsidRDefault="00354F91" w:rsidP="00354F91">
      <w:pPr>
        <w:pStyle w:val="ListParagraph"/>
        <w:numPr>
          <w:ilvl w:val="0"/>
          <w:numId w:val="6"/>
        </w:numPr>
      </w:pPr>
      <w:r w:rsidRPr="00354F91">
        <w:t>Capping benefit rises for working age people at 1% per year</w:t>
      </w:r>
      <w:r>
        <w:t>:</w:t>
      </w:r>
      <w:r w:rsidRPr="00354F91">
        <w:t xml:space="preserve"> £1.9bn [</w:t>
      </w:r>
      <w:r>
        <w:t>Government estimate as part of the Welfare Uprating Bill</w:t>
      </w:r>
      <w:r>
        <w:rPr>
          <w:rStyle w:val="FootnoteReference"/>
        </w:rPr>
        <w:footnoteReference w:id="13"/>
      </w:r>
      <w:hyperlink r:id="rId15" w:history="1">
        <w:r w:rsidR="00D72F89" w:rsidRPr="00D72F89">
          <w:rPr>
            <w:rStyle w:val="Hyperlink"/>
            <w:szCs w:val="24"/>
          </w:rPr>
          <w:t>https://www.gov.uk/government/uploads/system/uploads/attachment_data/file/175019/welfare-benefits-up-rating-bill-ia.pdf.pdf</w:t>
        </w:r>
      </w:hyperlink>
      <w:r w:rsidRPr="00354F91">
        <w:t>]</w:t>
      </w:r>
    </w:p>
    <w:p w14:paraId="2D188AEC" w14:textId="77777777" w:rsidR="00354F91" w:rsidRPr="00354F91" w:rsidRDefault="00354F91" w:rsidP="00354F91">
      <w:pPr>
        <w:pStyle w:val="ListParagraph"/>
        <w:numPr>
          <w:ilvl w:val="0"/>
          <w:numId w:val="6"/>
        </w:numPr>
      </w:pPr>
      <w:r w:rsidRPr="00354F91">
        <w:t>Stopping giving the winter fuel allowance to better-off pensioners</w:t>
      </w:r>
      <w:r>
        <w:t>:</w:t>
      </w:r>
      <w:r w:rsidRPr="00354F91">
        <w:t xml:space="preserve"> £0.1bn [</w:t>
      </w:r>
      <w:r>
        <w:t>from the Huffington Post,</w:t>
      </w:r>
      <w:r>
        <w:rPr>
          <w:rStyle w:val="FootnoteReference"/>
        </w:rPr>
        <w:footnoteReference w:id="14"/>
      </w:r>
      <w:r>
        <w:t xml:space="preserve"> </w:t>
      </w:r>
      <w:r w:rsidRPr="00354F91">
        <w:t xml:space="preserve">assuming </w:t>
      </w:r>
      <w:r>
        <w:t xml:space="preserve">that </w:t>
      </w:r>
      <w:r w:rsidRPr="00354F91">
        <w:t>'better off'=higher-rate taxpayers]</w:t>
      </w:r>
    </w:p>
    <w:p w14:paraId="21963F0D" w14:textId="77777777" w:rsidR="00354F91" w:rsidRPr="00354F91" w:rsidRDefault="00354F91" w:rsidP="00354F91">
      <w:pPr>
        <w:pStyle w:val="ListParagraph"/>
        <w:numPr>
          <w:ilvl w:val="0"/>
          <w:numId w:val="6"/>
        </w:numPr>
      </w:pPr>
      <w:r w:rsidRPr="00354F91">
        <w:t>Reduction in housing benefit for those with spare rooms (the “bedroom tax”)</w:t>
      </w:r>
      <w:r>
        <w:t>:</w:t>
      </w:r>
      <w:r w:rsidRPr="00354F91">
        <w:t xml:space="preserve"> £0.5bn [</w:t>
      </w:r>
      <w:r>
        <w:t>Government estimate</w:t>
      </w:r>
      <w:r>
        <w:rPr>
          <w:rStyle w:val="FootnoteReference"/>
        </w:rPr>
        <w:footnoteReference w:id="15"/>
      </w:r>
      <w:r w:rsidRPr="00354F91">
        <w:t>]</w:t>
      </w:r>
    </w:p>
    <w:p w14:paraId="1BFD9BDC" w14:textId="77777777" w:rsidR="00354F91" w:rsidRPr="00354F91" w:rsidRDefault="00354F91" w:rsidP="00BD4E09">
      <w:pPr>
        <w:pStyle w:val="ListParagraph"/>
        <w:numPr>
          <w:ilvl w:val="0"/>
          <w:numId w:val="6"/>
        </w:numPr>
      </w:pPr>
      <w:r w:rsidRPr="00354F91">
        <w:t>Stopping free bus travel for better-off pensioners</w:t>
      </w:r>
      <w:r>
        <w:t xml:space="preserve">: </w:t>
      </w:r>
      <w:r w:rsidRPr="00354F91">
        <w:t>£45m [</w:t>
      </w:r>
      <w:r>
        <w:t>Institute of Fiscal Studies,</w:t>
      </w:r>
      <w:bookmarkStart w:id="7" w:name="_Ref425262080"/>
      <w:r>
        <w:rPr>
          <w:rStyle w:val="FootnoteReference"/>
        </w:rPr>
        <w:footnoteReference w:id="16"/>
      </w:r>
      <w:bookmarkEnd w:id="7"/>
      <w:r w:rsidRPr="00354F91">
        <w:rPr>
          <w:vertAlign w:val="superscript"/>
        </w:rPr>
        <w:t xml:space="preserve"> </w:t>
      </w:r>
      <w:r w:rsidRPr="00354F91">
        <w:t>assuming 'better-off' = higher-rate tax]</w:t>
      </w:r>
    </w:p>
    <w:p w14:paraId="6B50FAFF" w14:textId="77777777" w:rsidR="00354F91" w:rsidRDefault="00354F91" w:rsidP="00D26FBB">
      <w:pPr>
        <w:pStyle w:val="ListParagraph"/>
        <w:numPr>
          <w:ilvl w:val="0"/>
          <w:numId w:val="6"/>
        </w:numPr>
      </w:pPr>
      <w:r w:rsidRPr="00354F91">
        <w:lastRenderedPageBreak/>
        <w:t>Stopping free TV licenses for better-off pensioners</w:t>
      </w:r>
      <w:r>
        <w:t xml:space="preserve">: £26m </w:t>
      </w:r>
      <w:r w:rsidRPr="00354F91">
        <w:t>[</w:t>
      </w:r>
      <w:r>
        <w:t>Institute of Fiscal Studies,</w:t>
      </w:r>
      <w:r w:rsidRPr="00354F91">
        <w:rPr>
          <w:vertAlign w:val="superscript"/>
        </w:rPr>
        <w:fldChar w:fldCharType="begin"/>
      </w:r>
      <w:r w:rsidRPr="00354F91">
        <w:rPr>
          <w:vertAlign w:val="superscript"/>
        </w:rPr>
        <w:instrText xml:space="preserve"> NOTEREF _Ref425262080 \h </w:instrText>
      </w:r>
      <w:r>
        <w:rPr>
          <w:vertAlign w:val="superscript"/>
        </w:rPr>
        <w:instrText xml:space="preserve"> \* MERGEFORMAT </w:instrText>
      </w:r>
      <w:r w:rsidRPr="00354F91">
        <w:rPr>
          <w:vertAlign w:val="superscript"/>
        </w:rPr>
      </w:r>
      <w:r w:rsidRPr="00354F91">
        <w:rPr>
          <w:vertAlign w:val="superscript"/>
        </w:rPr>
        <w:fldChar w:fldCharType="separate"/>
      </w:r>
      <w:r w:rsidR="00D72F89">
        <w:rPr>
          <w:vertAlign w:val="superscript"/>
        </w:rPr>
        <w:t>16</w:t>
      </w:r>
      <w:r w:rsidRPr="00354F91">
        <w:rPr>
          <w:vertAlign w:val="superscript"/>
        </w:rPr>
        <w:fldChar w:fldCharType="end"/>
      </w:r>
      <w:r w:rsidRPr="00354F91">
        <w:rPr>
          <w:vertAlign w:val="superscript"/>
        </w:rPr>
        <w:t xml:space="preserve"> </w:t>
      </w:r>
      <w:r w:rsidRPr="00354F91">
        <w:t>assuming 'better-off' = higher-rate tax]</w:t>
      </w:r>
    </w:p>
    <w:p w14:paraId="766A4ADC" w14:textId="77777777" w:rsidR="006C34B2" w:rsidRDefault="006C34B2" w:rsidP="006C34B2"/>
    <w:p w14:paraId="0DEEFA48" w14:textId="152B8C82" w:rsidR="006C34B2" w:rsidRDefault="006C34B2" w:rsidP="006C34B2">
      <w:pPr>
        <w:pStyle w:val="Heading4"/>
      </w:pPr>
      <w:r>
        <w:t>Levels of benefit claims among the working-age population</w:t>
      </w:r>
    </w:p>
    <w:p w14:paraId="2C942B25" w14:textId="682AB3A3" w:rsidR="007171EC" w:rsidRDefault="007171EC" w:rsidP="006C34B2">
      <w:r>
        <w:t xml:space="preserve">Out-of-work benefit claims (as a % of the working-age population) are taken from the </w:t>
      </w:r>
      <w:r w:rsidR="007255A6">
        <w:t xml:space="preserve">November </w:t>
      </w:r>
      <w:r>
        <w:t xml:space="preserve">2015 edition of ONS labour market table BEN01.  Strangely the official series excludes carers, even though these are also (almost exclusively) out-of-work benefit claimants.  We have therefore added Carer’s Allowance </w:t>
      </w:r>
      <w:r w:rsidR="00FB7E07">
        <w:t>and (prior to 2003) Invalid Care Allowance using the claimant numbers using the Benefit Expenditure &amp; Caseload tables accompanying the 2015 Budget (Table 1c),</w:t>
      </w:r>
      <w:r w:rsidR="00FB7E07">
        <w:rPr>
          <w:rStyle w:val="FootnoteReference"/>
        </w:rPr>
        <w:footnoteReference w:id="17"/>
      </w:r>
      <w:r w:rsidR="00FB7E07">
        <w:t xml:space="preserve"> assuming that claimants in payment would not be eligible for any of the other out-of-work benefits.  These numbers also closely mirror the Carer’s Allowance claims available from </w:t>
      </w:r>
      <w:proofErr w:type="spellStart"/>
      <w:r w:rsidR="00FB7E07">
        <w:t>nomis</w:t>
      </w:r>
      <w:proofErr w:type="spellEnd"/>
      <w:r w:rsidR="00FB7E07">
        <w:t xml:space="preserve"> for 2003-.</w:t>
      </w:r>
      <w:r w:rsidR="00033D2C">
        <w:t xml:space="preserve">  Full details are given in Web Tables 4</w:t>
      </w:r>
      <w:r w:rsidR="00E778C2">
        <w:t>d</w:t>
      </w:r>
      <w:r w:rsidR="00033D2C">
        <w:t>.</w:t>
      </w:r>
    </w:p>
    <w:p w14:paraId="64F45708" w14:textId="77777777" w:rsidR="00256E66" w:rsidRDefault="00256E66" w:rsidP="006C34B2"/>
    <w:p w14:paraId="7D920D44" w14:textId="7FF5032D" w:rsidR="00033D2C" w:rsidRDefault="00033D2C" w:rsidP="00033D2C">
      <w:pPr>
        <w:pStyle w:val="Heading4"/>
      </w:pPr>
      <w:r>
        <w:t>Levels of unemployment and long-term sickness among the working-age population</w:t>
      </w:r>
    </w:p>
    <w:p w14:paraId="79ED695D" w14:textId="77777777" w:rsidR="00033D2C" w:rsidRDefault="00033D2C" w:rsidP="00033D2C">
      <w:r>
        <w:t xml:space="preserve">As the text notes, these figures are based on survey responses are therefore subject to sampling biases (e.g. under-coverage of unemployed people) and response biases (e.g. </w:t>
      </w:r>
      <w:proofErr w:type="spellStart"/>
      <w:r>
        <w:t>mis</w:t>
      </w:r>
      <w:proofErr w:type="spellEnd"/>
      <w:r>
        <w:t xml:space="preserve">-reporting of labour market states) – much as they treated as hard ‘facts’ in most public discussion.  </w:t>
      </w:r>
    </w:p>
    <w:p w14:paraId="53205991" w14:textId="736F2419" w:rsidR="00033D2C" w:rsidRDefault="00033D2C" w:rsidP="00033D2C">
      <w:r>
        <w:t>We take unemployment and long-term sickness rates (as both a % of the active population and of the whole working-age population) from Eurostat data;</w:t>
      </w:r>
      <w:r>
        <w:rPr>
          <w:rStyle w:val="FootnoteReference"/>
        </w:rPr>
        <w:footnoteReference w:id="18"/>
      </w:r>
      <w:r>
        <w:t xml:space="preserve"> details of the calculati</w:t>
      </w:r>
      <w:r w:rsidR="00E778C2">
        <w:t>ons are given in Web Appendix 4e</w:t>
      </w:r>
      <w:r>
        <w:t xml:space="preserve">. </w:t>
      </w:r>
    </w:p>
    <w:p w14:paraId="0CBBA7F9" w14:textId="77777777" w:rsidR="00256E66" w:rsidRDefault="00256E66" w:rsidP="00033D2C"/>
    <w:p w14:paraId="1627BBAC" w14:textId="06D1A0F2" w:rsidR="00256E66" w:rsidRDefault="00256E66" w:rsidP="00256E66">
      <w:pPr>
        <w:pStyle w:val="Heading4"/>
      </w:pPr>
      <w:r>
        <w:t>Value of benefits</w:t>
      </w:r>
      <w:r w:rsidR="00215F1F">
        <w:t xml:space="preserve"> – BSA questions</w:t>
      </w:r>
    </w:p>
    <w:p w14:paraId="0D578284" w14:textId="6F987B14" w:rsidR="00256E66" w:rsidRDefault="00256E66" w:rsidP="00256E66">
      <w:r>
        <w:t xml:space="preserve">The actual payment levels of different benefits is a matter of administrative processes, and can therefore again be obtained </w:t>
      </w:r>
      <w:r w:rsidR="0025509C">
        <w:t>with high levels of certainty</w:t>
      </w:r>
      <w:r>
        <w:t>.  Payment levels are obtained from the Institute of Fiscal Studies’ historic benefit rates data tables.</w:t>
      </w:r>
      <w:r>
        <w:rPr>
          <w:rStyle w:val="FootnoteReference"/>
        </w:rPr>
        <w:footnoteReference w:id="19"/>
      </w:r>
    </w:p>
    <w:p w14:paraId="76917EB5" w14:textId="54E7DA79" w:rsidR="00256E66" w:rsidRDefault="00256E66" w:rsidP="00256E66">
      <w:r>
        <w:t xml:space="preserve">The challenge, however, is in matching the brief vignettes presented in </w:t>
      </w:r>
      <w:r w:rsidR="006C5B7D">
        <w:t xml:space="preserve">the BSA </w:t>
      </w:r>
      <w:r>
        <w:t>survey questions to the labyrinth that is the benefits system.  While the exact calculations (linked to the IFS tables) are presented in Web Tables 4f, a summary of the issues are presented here, grouped by claimant type</w:t>
      </w:r>
      <w:r w:rsidR="0017371D">
        <w:t xml:space="preserve"> – the most problematic assumptions are highlighted in bold</w:t>
      </w:r>
      <w:r>
        <w:t>:</w:t>
      </w:r>
    </w:p>
    <w:p w14:paraId="138F7C65" w14:textId="5437C9CC" w:rsidR="0011658C" w:rsidRDefault="0011658C" w:rsidP="00256E66">
      <w:pPr>
        <w:pStyle w:val="ListParagraph"/>
        <w:numPr>
          <w:ilvl w:val="0"/>
          <w:numId w:val="6"/>
        </w:numPr>
      </w:pPr>
      <w:r w:rsidRPr="006C5B7D">
        <w:rPr>
          <w:i/>
        </w:rPr>
        <w:t>‘Unemployed woman living alone’</w:t>
      </w:r>
      <w:r>
        <w:t xml:space="preserve">: </w:t>
      </w:r>
      <w:r w:rsidR="00484678">
        <w:t xml:space="preserve">BSA </w:t>
      </w:r>
      <w:r w:rsidR="007B2D12">
        <w:t>seems to use</w:t>
      </w:r>
      <w:r w:rsidR="00484678">
        <w:t xml:space="preserve"> </w:t>
      </w:r>
      <w:r w:rsidR="006C5B7D">
        <w:t xml:space="preserve">the single-person’s Unemployment Benefit/Jobseeker’s Allowance rate.  </w:t>
      </w:r>
      <w:r w:rsidR="00484678">
        <w:t xml:space="preserve">The survey figures </w:t>
      </w:r>
      <w:r w:rsidR="006C5B7D">
        <w:t>are accurate, with the minor exception of 1995 when £46.45 is rounded-up to £47.</w:t>
      </w:r>
    </w:p>
    <w:p w14:paraId="43770C62" w14:textId="77777777" w:rsidR="00750B91" w:rsidRDefault="00484678" w:rsidP="00484678">
      <w:pPr>
        <w:pStyle w:val="ListParagraph"/>
        <w:numPr>
          <w:ilvl w:val="0"/>
          <w:numId w:val="6"/>
        </w:numPr>
      </w:pPr>
      <w:r>
        <w:rPr>
          <w:i/>
        </w:rPr>
        <w:t>‘Couple living together without children who are both unemployed’</w:t>
      </w:r>
      <w:r>
        <w:t xml:space="preserve">: BSA </w:t>
      </w:r>
      <w:r w:rsidR="007B2D12">
        <w:t>seems to use</w:t>
      </w:r>
      <w:r>
        <w:t xml:space="preserve"> the couple Unemployment Benefit/Jobseeker’s Allowance rate.  The 2005 figure used in the main paper is accurate.  </w:t>
      </w:r>
    </w:p>
    <w:p w14:paraId="7FE3E7F3" w14:textId="313542DD" w:rsidR="00484678" w:rsidRDefault="00750B91" w:rsidP="00750B91">
      <w:pPr>
        <w:pStyle w:val="ListParagraph"/>
      </w:pPr>
      <w:r w:rsidRPr="00750B91">
        <w:t xml:space="preserve">For the earlier series </w:t>
      </w:r>
      <w:r w:rsidR="00484678">
        <w:t xml:space="preserve">(as reported above in </w:t>
      </w:r>
      <w:r w:rsidR="00484678">
        <w:fldChar w:fldCharType="begin"/>
      </w:r>
      <w:r w:rsidR="00484678">
        <w:instrText xml:space="preserve"> REF _Ref425422170 \r \h </w:instrText>
      </w:r>
      <w:r w:rsidR="00484678">
        <w:fldChar w:fldCharType="separate"/>
      </w:r>
      <w:r w:rsidR="00D72F89">
        <w:t>Web Appendix 3</w:t>
      </w:r>
      <w:r w:rsidR="00484678">
        <w:fldChar w:fldCharType="end"/>
      </w:r>
      <w:r w:rsidR="00484678">
        <w:t>)</w:t>
      </w:r>
      <w:r>
        <w:t>, the BSA figures</w:t>
      </w:r>
      <w:r w:rsidR="00484678">
        <w:t xml:space="preserve"> have the minor caveat that in some years the rates changed during the BSA fieldwork period (benefit rates generally changed on the 1</w:t>
      </w:r>
      <w:r w:rsidR="00484678" w:rsidRPr="00484678">
        <w:rPr>
          <w:vertAlign w:val="superscript"/>
        </w:rPr>
        <w:t>st</w:t>
      </w:r>
      <w:r w:rsidR="00484678">
        <w:t xml:space="preserve"> April, and 1989-1993 the BSA fieldwork period began in March.  After this point, fieldwork began in April).</w:t>
      </w:r>
    </w:p>
    <w:p w14:paraId="28EF3669" w14:textId="5D7550CF" w:rsidR="00256E66" w:rsidRDefault="00256E66" w:rsidP="00256E66">
      <w:pPr>
        <w:pStyle w:val="ListParagraph"/>
        <w:numPr>
          <w:ilvl w:val="0"/>
          <w:numId w:val="6"/>
        </w:numPr>
      </w:pPr>
      <w:r w:rsidRPr="006C5B7D">
        <w:rPr>
          <w:i/>
        </w:rPr>
        <w:lastRenderedPageBreak/>
        <w:t>‘Unemployed single mother with a young child’</w:t>
      </w:r>
      <w:r w:rsidR="0011658C">
        <w:t>:</w:t>
      </w:r>
      <w:r w:rsidR="00484678">
        <w:t xml:space="preserve"> BSA </w:t>
      </w:r>
      <w:r w:rsidR="007B2D12">
        <w:t>seems to use</w:t>
      </w:r>
      <w:r w:rsidR="00484678">
        <w:t xml:space="preserve"> the single parent’s Income Support </w:t>
      </w:r>
      <w:proofErr w:type="gramStart"/>
      <w:r w:rsidR="00484678">
        <w:t>rate,</w:t>
      </w:r>
      <w:proofErr w:type="gramEnd"/>
      <w:r w:rsidR="00484678">
        <w:t xml:space="preserve"> with additions for one dependent child and the lone parent IS premium.  However, the lone parent IS premium was abolished in 1998, and payments for dependent children after 2004 are through the tax credits system – the rates for 2000 and 2008 therefore refer to existing claimants only.  </w:t>
      </w:r>
      <w:r w:rsidR="00BB474B">
        <w:t>While tax credit eligibility is complex to estimate, o</w:t>
      </w:r>
      <w:r w:rsidR="00484678">
        <w:t>ur estimates are that new claimants would receive slightly lower amounts in both 2000 (£93 rather than £95) and 2008 (£122 rather than £130).</w:t>
      </w:r>
    </w:p>
    <w:p w14:paraId="73D0BA83" w14:textId="69E0F356" w:rsidR="004F4CCD" w:rsidRPr="004F4CCD" w:rsidRDefault="00F50BF6" w:rsidP="001C4438">
      <w:pPr>
        <w:pStyle w:val="ListParagraph"/>
        <w:rPr>
          <w:b/>
        </w:rPr>
      </w:pPr>
      <w:r>
        <w:t xml:space="preserve">A further issue is that these figures exclude Child Benefit.  There is nothing about the question wording (that says ‘their only income comes from state benefits’) to suggest that the respondent should assume that they are not receiving Child Benefit, and in practice, most such claimants would receive this.   </w:t>
      </w:r>
      <w:r w:rsidR="00682C34">
        <w:t xml:space="preserve">(Similarly, a DWP study using similar questions {Kelly, 2008 #600} seems to include Child Benefit in its ‘true’ amount).  </w:t>
      </w:r>
      <w:r>
        <w:rPr>
          <w:b/>
        </w:rPr>
        <w:t xml:space="preserve">As a result, the ‘true’ figures given in </w:t>
      </w:r>
      <w:r w:rsidR="00682C34">
        <w:rPr>
          <w:b/>
        </w:rPr>
        <w:t xml:space="preserve">BSA </w:t>
      </w:r>
      <w:r>
        <w:rPr>
          <w:b/>
        </w:rPr>
        <w:t>actually understate the true figure by £16-19 per week.</w:t>
      </w:r>
      <w:r w:rsidR="004F4CCD">
        <w:rPr>
          <w:b/>
        </w:rPr>
        <w:t xml:space="preserve">  </w:t>
      </w:r>
      <w:r w:rsidR="004F4CCD">
        <w:t xml:space="preserve">In terms of the implications of including Child Benefit, while we do not have the underlying microdata to estimate under-/over-estimates, Kelly {, 2008 #600} does show that 10% more people thought that benefits for enough to live on after hearing the true amount.  </w:t>
      </w:r>
    </w:p>
    <w:p w14:paraId="4B32A06C" w14:textId="5A1FDC70" w:rsidR="00484678" w:rsidRPr="00484678" w:rsidRDefault="00010EA5" w:rsidP="00484678">
      <w:pPr>
        <w:pStyle w:val="ListParagraph"/>
        <w:rPr>
          <w:b/>
        </w:rPr>
      </w:pPr>
      <w:r>
        <w:rPr>
          <w:b/>
        </w:rPr>
        <w:t>Furthermore, t</w:t>
      </w:r>
      <w:r w:rsidR="00484678" w:rsidRPr="00484678">
        <w:rPr>
          <w:b/>
        </w:rPr>
        <w:t>he BSA figure for 2004</w:t>
      </w:r>
      <w:r>
        <w:rPr>
          <w:b/>
        </w:rPr>
        <w:t xml:space="preserve"> </w:t>
      </w:r>
      <w:r w:rsidR="00484678" w:rsidRPr="00484678">
        <w:rPr>
          <w:b/>
        </w:rPr>
        <w:t xml:space="preserve">seems </w:t>
      </w:r>
      <w:r>
        <w:rPr>
          <w:b/>
        </w:rPr>
        <w:t>to be too high</w:t>
      </w:r>
      <w:r w:rsidR="00484678" w:rsidRPr="00484678">
        <w:rPr>
          <w:b/>
        </w:rPr>
        <w:t xml:space="preserve">.  </w:t>
      </w:r>
      <w:r w:rsidRPr="00010EA5">
        <w:t>Ironically</w:t>
      </w:r>
      <w:r>
        <w:t>, the degree to which this is wrong (£16 for existing claimants, £22 for new claimants) is balanced out by the Child Benefit which BSA do not include (£18).  Readers who believe that Child Benefit should be included in the true figure should therefore focus on 2004 (which is roughly accurate) and ignore the figures for the u</w:t>
      </w:r>
      <w:r w:rsidRPr="00010EA5">
        <w:t>nemployed single mother</w:t>
      </w:r>
      <w:r>
        <w:t xml:space="preserve"> with a young child for other years.</w:t>
      </w:r>
    </w:p>
    <w:p w14:paraId="775EAC35" w14:textId="1BB710A1" w:rsidR="00484678" w:rsidRPr="002E515D" w:rsidRDefault="00484678" w:rsidP="00484678">
      <w:pPr>
        <w:pStyle w:val="ListParagraph"/>
        <w:numPr>
          <w:ilvl w:val="0"/>
          <w:numId w:val="5"/>
        </w:numPr>
        <w:rPr>
          <w:i/>
        </w:rPr>
      </w:pPr>
      <w:r>
        <w:rPr>
          <w:i/>
        </w:rPr>
        <w:t>‘</w:t>
      </w:r>
      <w:r w:rsidR="00AD0466">
        <w:rPr>
          <w:i/>
        </w:rPr>
        <w:t>W</w:t>
      </w:r>
      <w:r w:rsidRPr="002F17AA">
        <w:rPr>
          <w:i/>
        </w:rPr>
        <w:t>oman who can't work because she has to look after her husband or partner who has a long-term illness</w:t>
      </w:r>
      <w:r w:rsidR="00AD0466">
        <w:rPr>
          <w:i/>
        </w:rPr>
        <w:t>’</w:t>
      </w:r>
      <w:r w:rsidR="00AD0466">
        <w:t xml:space="preserve">: </w:t>
      </w:r>
      <w:r w:rsidR="002E515D">
        <w:t xml:space="preserve">BSA </w:t>
      </w:r>
      <w:r w:rsidR="007B2D12">
        <w:t xml:space="preserve">seems to </w:t>
      </w:r>
      <w:r w:rsidR="002E515D">
        <w:t>use the couple Income Support rate, with additions for the couple disability premium and the carer’s premium</w:t>
      </w:r>
      <w:r w:rsidR="0017371D">
        <w:t>, which is £146.70</w:t>
      </w:r>
      <w:r w:rsidR="002E515D">
        <w:t>.  (They then round this down to £146).</w:t>
      </w:r>
    </w:p>
    <w:p w14:paraId="01C8A8AA" w14:textId="2A23B9D4" w:rsidR="00484678" w:rsidRPr="002E515D" w:rsidRDefault="002E515D" w:rsidP="002E515D">
      <w:pPr>
        <w:pStyle w:val="ListParagraph"/>
      </w:pPr>
      <w:r>
        <w:rPr>
          <w:b/>
        </w:rPr>
        <w:t>However, this is not the most obvious interpretation of the question that they ask.</w:t>
      </w:r>
      <w:r>
        <w:t xml:space="preserve">  The </w:t>
      </w:r>
      <w:r w:rsidR="0017371D">
        <w:t xml:space="preserve">question refers to the woman doing the caring, and NOT the couple.  (The question also does not specify that they have virtually no assets, which is a requirement for them to be entitled to Income Support).  If we instead look solely at the woman’s entitlement by virtue of being a </w:t>
      </w:r>
      <w:proofErr w:type="spellStart"/>
      <w:r w:rsidR="0017371D">
        <w:t>carer</w:t>
      </w:r>
      <w:proofErr w:type="spellEnd"/>
      <w:r w:rsidR="0017371D">
        <w:t xml:space="preserve">, then her Carer’s Allowance is £44, and with an addition for an adult dependent then this reaches £71 – much less than the £146 given as the true figure in the question. </w:t>
      </w:r>
      <w:r w:rsidR="0017371D" w:rsidRPr="0017371D">
        <w:rPr>
          <w:b/>
        </w:rPr>
        <w:t>At the very least, this is a debatable figure to regard as the ‘truth’.</w:t>
      </w:r>
    </w:p>
    <w:p w14:paraId="450DE59F" w14:textId="1E8A0136" w:rsidR="0011658C" w:rsidRPr="007B2D12" w:rsidRDefault="0017371D" w:rsidP="0011658C">
      <w:pPr>
        <w:pStyle w:val="ListParagraph"/>
        <w:numPr>
          <w:ilvl w:val="0"/>
          <w:numId w:val="5"/>
        </w:numPr>
        <w:rPr>
          <w:i/>
        </w:rPr>
      </w:pPr>
      <w:r>
        <w:rPr>
          <w:i/>
        </w:rPr>
        <w:t>‘P</w:t>
      </w:r>
      <w:r w:rsidR="0011658C" w:rsidRPr="002F17AA">
        <w:rPr>
          <w:i/>
        </w:rPr>
        <w:t>ensioner living alon</w:t>
      </w:r>
      <w:r>
        <w:rPr>
          <w:i/>
        </w:rPr>
        <w:t>e’</w:t>
      </w:r>
      <w:r>
        <w:t>:</w:t>
      </w:r>
      <w:r w:rsidR="007B2D12">
        <w:t xml:space="preserve"> for 2000, BSA seems to use the Income Support rate plus the Enhanced Pensioner premium.  This assumes that the person described simply as a ‘pensioner’ is aged 75+; if they were younger than this, they would receive £78 rather than £81 (the survey strangely uses £82, a figure we cannot exactly replicate).</w:t>
      </w:r>
    </w:p>
    <w:p w14:paraId="2F5D3655" w14:textId="0D82CC4D" w:rsidR="007B2D12" w:rsidRDefault="007B2D12" w:rsidP="007B2D12">
      <w:pPr>
        <w:pStyle w:val="ListParagraph"/>
      </w:pPr>
      <w:r>
        <w:t xml:space="preserve">For 2004 and 2008, BSA seems to use the Pension Credit rates.  These figures are accurate in 2004, but in 2008 they accidentally seem to </w:t>
      </w:r>
      <w:r w:rsidR="00750B91">
        <w:t xml:space="preserve">make a minor error in using </w:t>
      </w:r>
      <w:r>
        <w:t>the 2007 rate (£119) rather than the 2008 rate (£124).</w:t>
      </w:r>
    </w:p>
    <w:p w14:paraId="412EE233" w14:textId="05D2A803" w:rsidR="0011658C" w:rsidRPr="002F17AA" w:rsidRDefault="0017371D" w:rsidP="0011658C">
      <w:pPr>
        <w:pStyle w:val="ListParagraph"/>
        <w:numPr>
          <w:ilvl w:val="0"/>
          <w:numId w:val="5"/>
        </w:numPr>
        <w:rPr>
          <w:i/>
        </w:rPr>
      </w:pPr>
      <w:r>
        <w:rPr>
          <w:i/>
        </w:rPr>
        <w:t>‘P</w:t>
      </w:r>
      <w:r w:rsidR="0011658C" w:rsidRPr="002F17AA">
        <w:rPr>
          <w:i/>
        </w:rPr>
        <w:t>ensioner couple living together</w:t>
      </w:r>
      <w:r>
        <w:rPr>
          <w:i/>
        </w:rPr>
        <w:t>’</w:t>
      </w:r>
      <w:r>
        <w:t>:</w:t>
      </w:r>
      <w:r w:rsidR="00750B91">
        <w:t xml:space="preserve"> </w:t>
      </w:r>
      <w:r w:rsidR="00F50BF6">
        <w:t xml:space="preserve">in 2005, </w:t>
      </w:r>
      <w:r w:rsidR="00750B91">
        <w:t>the BSA seems to use the Pension Credit couple rate (which is the same as the equivalent Income Support rate plus the Pensioner premium).  However, they make a minor error in stating a figure of £171, whereas the actual figure is £167.  (We cannot find a way of estimating the entitlement as £171).</w:t>
      </w:r>
    </w:p>
    <w:p w14:paraId="6028B88D" w14:textId="77777777" w:rsidR="00750B91" w:rsidRDefault="00750B91" w:rsidP="00750B91">
      <w:pPr>
        <w:pStyle w:val="ListParagraph"/>
      </w:pPr>
      <w:r>
        <w:t xml:space="preserve">The figures for the earlier series (see </w:t>
      </w:r>
      <w:r>
        <w:fldChar w:fldCharType="begin"/>
      </w:r>
      <w:r>
        <w:instrText xml:space="preserve"> REF _Ref425422170 \r \h </w:instrText>
      </w:r>
      <w:r>
        <w:fldChar w:fldCharType="separate"/>
      </w:r>
      <w:r w:rsidR="00D72F89">
        <w:t>Web Appendix 3</w:t>
      </w:r>
      <w:r>
        <w:fldChar w:fldCharType="end"/>
      </w:r>
      <w:r>
        <w:t xml:space="preserve"> above) refer solely to the state pension, and seem accurate with the minor exception of 1986 (where the stated rate of £62 was only introduced in July 1986, being £61 prior to this).</w:t>
      </w:r>
    </w:p>
    <w:p w14:paraId="331816B7" w14:textId="77777777" w:rsidR="00215F1F" w:rsidRDefault="00215F1F" w:rsidP="00750B91">
      <w:pPr>
        <w:pStyle w:val="ListParagraph"/>
      </w:pPr>
    </w:p>
    <w:p w14:paraId="3E2C4A2A" w14:textId="261AD6D4" w:rsidR="00215F1F" w:rsidRPr="007B2D12" w:rsidRDefault="00215F1F" w:rsidP="00215F1F">
      <w:pPr>
        <w:pStyle w:val="Heading4"/>
      </w:pPr>
      <w:r>
        <w:lastRenderedPageBreak/>
        <w:t>Value of benefits &amp; whether better-off in work – YouGov/TUC 2012 questions</w:t>
      </w:r>
    </w:p>
    <w:p w14:paraId="4EDFCBE3" w14:textId="3630A3A7" w:rsidR="00215F1F" w:rsidRPr="00256E66" w:rsidRDefault="00215F1F" w:rsidP="00215F1F">
      <w:r>
        <w:t xml:space="preserve">We can again use the Institute of Fiscal Studies’ historic benefit rate tables to construct answers to the YouGov/TUC 2012 question on how much an unemployed couple with two children would receive (see Web Tables 4f).  The TUC themselves say that the correct answer is £111 per week, which is the correct figure for the couple rate of Jobseeker’s Allowance.  </w:t>
      </w:r>
    </w:p>
    <w:p w14:paraId="6FDC548D" w14:textId="5ECC3F1C" w:rsidR="0011658C" w:rsidRDefault="00215F1F" w:rsidP="0011658C">
      <w:r>
        <w:t xml:space="preserve">It is worth stressing that many respondents may have misunderstood the complex question used (see above for wording), which asks about how much they would ‘receive in unemployment benefit (Jobseeker’s Allowance)’, after excluding ‘other benefits such as housing, council tax or child benefits’.  </w:t>
      </w:r>
      <w:proofErr w:type="gramStart"/>
      <w:r>
        <w:t>The fact that the question explicitly mentions their two children, but then asks them to exclude child benefits, may have confused some respondents.</w:t>
      </w:r>
      <w:proofErr w:type="gramEnd"/>
      <w:r>
        <w:t xml:space="preserve">   It is also unclear whether some people may have confused Child Tax Credit as ‘unemployment benefits’ (given that this is paid to people who are out-of-work), even if they were excluding Child Benefit (which is paid to most families).  This makes a considerable difference to the true figure: this hypothetical couple would receive £34/</w:t>
      </w:r>
      <w:proofErr w:type="spellStart"/>
      <w:r>
        <w:t>wk</w:t>
      </w:r>
      <w:proofErr w:type="spellEnd"/>
      <w:r>
        <w:t xml:space="preserve"> in Child Benefits, and £114/</w:t>
      </w:r>
      <w:proofErr w:type="spellStart"/>
      <w:r>
        <w:t>wk</w:t>
      </w:r>
      <w:proofErr w:type="spellEnd"/>
      <w:r>
        <w:t xml:space="preserve"> in Child Tax Credit, more than doubling their income.</w:t>
      </w:r>
    </w:p>
    <w:p w14:paraId="3FD07B26" w14:textId="4EA81D65" w:rsidR="00215F1F" w:rsidRDefault="00215F1F" w:rsidP="0011658C">
      <w:r>
        <w:t>The question on whether this couple would be better-off in work (with one earner at 30hrs/</w:t>
      </w:r>
      <w:proofErr w:type="spellStart"/>
      <w:r>
        <w:t>wk</w:t>
      </w:r>
      <w:proofErr w:type="spellEnd"/>
      <w:r>
        <w:t xml:space="preserve"> at the minimum wage) is even trickier to construct a true figure for.  </w:t>
      </w:r>
      <w:r w:rsidR="00E0485A">
        <w:t xml:space="preserve">This starts from the true amount of benefits that the couple would receive, as just discussed.  </w:t>
      </w:r>
      <w:r>
        <w:t xml:space="preserve">The TUC </w:t>
      </w:r>
      <w:r w:rsidR="00E0485A">
        <w:t xml:space="preserve">then </w:t>
      </w:r>
      <w:r>
        <w:t>say that the correct answer is £138/</w:t>
      </w:r>
      <w:proofErr w:type="spellStart"/>
      <w:r>
        <w:t>wk</w:t>
      </w:r>
      <w:proofErr w:type="spellEnd"/>
      <w:r>
        <w:t xml:space="preserve"> better off (providing no further detail), but we have been able to reconstruct this figure.  The closest we can get is £128/</w:t>
      </w:r>
      <w:proofErr w:type="spellStart"/>
      <w:r>
        <w:t>wk</w:t>
      </w:r>
      <w:proofErr w:type="spellEnd"/>
      <w:r>
        <w:t xml:space="preserve">, which includes their wages, tax and national insurance, and how this influences their benefit and tax credit eligibility (see Web Tables 4f for details). </w:t>
      </w:r>
    </w:p>
    <w:p w14:paraId="227C842F" w14:textId="758B2069" w:rsidR="00E0485A" w:rsidRDefault="00E0485A" w:rsidP="0011658C">
      <w:r>
        <w:t>Furthermore, this ignores any costs associated with working (which at a minimum will include some travel costs, and may also include e.g. suitable clothing), any loss of other benefits (e.g. Housing Benefit, Council Tax Benefit),</w:t>
      </w:r>
      <w:r>
        <w:rPr>
          <w:rStyle w:val="FootnoteReference"/>
        </w:rPr>
        <w:footnoteReference w:id="20"/>
      </w:r>
      <w:r>
        <w:t xml:space="preserve"> and any loss of </w:t>
      </w:r>
      <w:proofErr w:type="spellStart"/>
      <w:r>
        <w:t>passported</w:t>
      </w:r>
      <w:proofErr w:type="spellEnd"/>
      <w:r>
        <w:t xml:space="preserve"> benefits (e.g. free prescriptions, free school meals)</w:t>
      </w:r>
      <w:r>
        <w:rPr>
          <w:rStyle w:val="FootnoteReference"/>
        </w:rPr>
        <w:footnoteReference w:id="21"/>
      </w:r>
      <w:r>
        <w:t xml:space="preserve"> – all of which a survey respondent may well have been taking into account in answering the question (which explicitly asked people to think ‘in general’ about how much better off this family would be).   It is therefore an upper bound on the true value of how much better off someone would be in practice.</w:t>
      </w:r>
    </w:p>
    <w:p w14:paraId="19D670D4" w14:textId="77777777" w:rsidR="00207764" w:rsidRDefault="00207764" w:rsidP="0011658C"/>
    <w:p w14:paraId="52B334DB" w14:textId="2C821938" w:rsidR="00207764" w:rsidRDefault="00207764" w:rsidP="00207764">
      <w:pPr>
        <w:pStyle w:val="Heading4"/>
      </w:pPr>
      <w:r>
        <w:t>Duration of Jobseeker’s Allowance claims</w:t>
      </w:r>
    </w:p>
    <w:p w14:paraId="492EE9A7" w14:textId="00328751" w:rsidR="00E82307" w:rsidRDefault="00207764" w:rsidP="00207764">
      <w:r>
        <w:t xml:space="preserve">The TUC claim the correct value for the proportion of Jobseeker’s Allowance (JSA) claims that last for more than a year is 27.8%.  </w:t>
      </w:r>
      <w:r w:rsidR="00E82307">
        <w:t xml:space="preserve">While </w:t>
      </w:r>
      <w:r>
        <w:t xml:space="preserve">they provide no source for this figure, </w:t>
      </w:r>
      <w:r w:rsidR="00E82307">
        <w:t xml:space="preserve">it </w:t>
      </w:r>
      <w:r w:rsidR="004505D4">
        <w:t xml:space="preserve">seems likely to </w:t>
      </w:r>
      <w:r w:rsidR="00E82307">
        <w:t>be the proportion of all Jobseeker’s Allowance claimants who have been claiming benefits for more than a year (</w:t>
      </w:r>
      <w:r w:rsidR="00BF0215">
        <w:t xml:space="preserve">usually </w:t>
      </w:r>
      <w:r w:rsidR="00E82307">
        <w:t>known to policy analysts as the ‘stock’ of claimants)</w:t>
      </w:r>
      <w:r w:rsidR="00BF0215">
        <w:t xml:space="preserve">, </w:t>
      </w:r>
      <w:r w:rsidR="004505D4">
        <w:t xml:space="preserve">which is exactly 27.87% (see </w:t>
      </w:r>
      <w:r w:rsidR="00BF0215">
        <w:t>Web Tables 4g</w:t>
      </w:r>
      <w:r w:rsidR="004505D4">
        <w:t>, and many thanks to Declan Gaffney for tracking down this statistic)</w:t>
      </w:r>
      <w:r w:rsidR="00E82307">
        <w:t>.</w:t>
      </w:r>
      <w:r>
        <w:t xml:space="preserve"> </w:t>
      </w:r>
      <w:r w:rsidR="00BF0215">
        <w:t xml:space="preserve"> However, the TUC/YouGov question refers to the share of initial claims (usually known to policy analysts as the ‘flow’ of claimants) that last at least 12 months – which is a different statistic.</w:t>
      </w:r>
    </w:p>
    <w:p w14:paraId="1E4DDF74" w14:textId="7FAE54EA" w:rsidR="00207764" w:rsidRDefault="006E6EDB" w:rsidP="00207764">
      <w:r>
        <w:t xml:space="preserve">If we focus on the </w:t>
      </w:r>
      <w:r w:rsidR="00BF0215">
        <w:t>flow</w:t>
      </w:r>
      <w:r>
        <w:t xml:space="preserve">, as the survey question does, then this </w:t>
      </w:r>
      <w:r w:rsidR="00207764">
        <w:t>feature</w:t>
      </w:r>
      <w:r w:rsidR="00BF0215">
        <w:t>s</w:t>
      </w:r>
      <w:r w:rsidR="00207764">
        <w:t xml:space="preserve"> in one </w:t>
      </w:r>
      <w:proofErr w:type="spellStart"/>
      <w:r w:rsidR="00207764">
        <w:t>mythbuster</w:t>
      </w:r>
      <w:proofErr w:type="spellEnd"/>
      <w:r w:rsidR="00207764">
        <w:t xml:space="preserve"> that the present authors were involved with {Turn2us, 2012 #601}, which in turn take data from a Government report {</w:t>
      </w:r>
      <w:proofErr w:type="spellStart"/>
      <w:r w:rsidR="00207764">
        <w:t>MoJ</w:t>
      </w:r>
      <w:proofErr w:type="spellEnd"/>
      <w:r w:rsidR="00207764">
        <w:t>, 2011 #602}.</w:t>
      </w:r>
      <w:r w:rsidR="00D1299A">
        <w:t xml:space="preserve">  This found that 32% of people who started to claim JSA in 2008 were still claiming JSA one year later – which is roughly the same as the TUC figure (particularly as the TUC regard 30% as approximately correct, given respondents’ tendency to round responses to the nearest 10).  No more recent data are available.</w:t>
      </w:r>
    </w:p>
    <w:p w14:paraId="40F23913" w14:textId="43640752" w:rsidR="00D1299A" w:rsidRPr="00207764" w:rsidRDefault="00D1299A" w:rsidP="00207764">
      <w:r>
        <w:t xml:space="preserve">It is worth noting however that there are two other reasonable interpretations of the answer to this question.  Firstly, the question could refer to the number of new JSA claimants who have made a single </w:t>
      </w:r>
      <w:r w:rsidR="00E82307" w:rsidRPr="00E82307">
        <w:rPr>
          <w:i/>
          <w:u w:val="single"/>
        </w:rPr>
        <w:t>uninterrupted</w:t>
      </w:r>
      <w:r w:rsidR="00E82307">
        <w:rPr>
          <w:i/>
        </w:rPr>
        <w:t xml:space="preserve"> </w:t>
      </w:r>
      <w:r>
        <w:t xml:space="preserve">JSA claim lasting 12 months – and using the same </w:t>
      </w:r>
      <w:proofErr w:type="spellStart"/>
      <w:r>
        <w:t>MoJ</w:t>
      </w:r>
      <w:proofErr w:type="spellEnd"/>
      <w:r>
        <w:t xml:space="preserve">/DWP data source, this </w:t>
      </w:r>
      <w:r>
        <w:lastRenderedPageBreak/>
        <w:t xml:space="preserve">figure is much lower at 10%.  (The other 22% of initial JSA claimants who were still on JSA a year later have left JSA during this year, but have returned to it by this point).  Secondly the question could refer to the number of new JSA claimants who were still claiming </w:t>
      </w:r>
      <w:r w:rsidRPr="00E82307">
        <w:rPr>
          <w:i/>
          <w:u w:val="single"/>
        </w:rPr>
        <w:t>out-of-work benefits</w:t>
      </w:r>
      <w:r>
        <w:t xml:space="preserve"> </w:t>
      </w:r>
      <w:r w:rsidR="00E82307">
        <w:t xml:space="preserve">(rather than just JSA) </w:t>
      </w:r>
      <w:r>
        <w:t>a year later – and using the same data source, this is slightly higher at 40%.  The DWP/</w:t>
      </w:r>
      <w:proofErr w:type="spellStart"/>
      <w:r>
        <w:t>MoJ</w:t>
      </w:r>
      <w:proofErr w:type="spellEnd"/>
      <w:r>
        <w:t xml:space="preserve"> report is available from </w:t>
      </w:r>
      <w:hyperlink r:id="rId16" w:history="1">
        <w:r w:rsidRPr="0061637C">
          <w:rPr>
            <w:rStyle w:val="Hyperlink"/>
          </w:rPr>
          <w:t>www.justice.gov.uk/downloads/statistics/mojstats/offending-employment-benefits-emerging-findings-tables.xls</w:t>
        </w:r>
      </w:hyperlink>
      <w:r>
        <w:t>, and full details are given in Web Tables 4g.</w:t>
      </w:r>
    </w:p>
    <w:sectPr w:rsidR="00D1299A" w:rsidRPr="00207764">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2BD19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35605A" w14:textId="77777777" w:rsidR="00797102" w:rsidRDefault="00797102" w:rsidP="0062105B">
      <w:pPr>
        <w:spacing w:after="0"/>
      </w:pPr>
      <w:r>
        <w:separator/>
      </w:r>
    </w:p>
  </w:endnote>
  <w:endnote w:type="continuationSeparator" w:id="0">
    <w:p w14:paraId="4FDB8C8A" w14:textId="77777777" w:rsidR="00797102" w:rsidRDefault="00797102" w:rsidP="0062105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42FA776" w14:textId="77777777" w:rsidR="00797102" w:rsidRDefault="00797102" w:rsidP="0062105B">
      <w:pPr>
        <w:spacing w:after="0"/>
      </w:pPr>
      <w:r>
        <w:separator/>
      </w:r>
    </w:p>
  </w:footnote>
  <w:footnote w:type="continuationSeparator" w:id="0">
    <w:p w14:paraId="28817959" w14:textId="77777777" w:rsidR="00797102" w:rsidRDefault="00797102" w:rsidP="0062105B">
      <w:pPr>
        <w:spacing w:after="0"/>
      </w:pPr>
      <w:r>
        <w:continuationSeparator/>
      </w:r>
    </w:p>
  </w:footnote>
  <w:footnote w:id="1">
    <w:p w14:paraId="43AAB8D3" w14:textId="7107568F" w:rsidR="00386A42" w:rsidRDefault="00386A42">
      <w:pPr>
        <w:pStyle w:val="FootnoteText"/>
      </w:pPr>
      <w:r>
        <w:rPr>
          <w:rStyle w:val="FootnoteReference"/>
        </w:rPr>
        <w:footnoteRef/>
      </w:r>
      <w:r>
        <w:t xml:space="preserve"> </w:t>
      </w:r>
      <w:hyperlink r:id="rId1" w:history="1">
        <w:r w:rsidRPr="0048638B">
          <w:rPr>
            <w:rStyle w:val="Hyperlink"/>
          </w:rPr>
          <w:t>https://www.gov.uk/government/statistics/fraud-and-error-in-the-benefit-system-201213-estimates</w:t>
        </w:r>
      </w:hyperlink>
      <w:r>
        <w:t xml:space="preserve"> </w:t>
      </w:r>
    </w:p>
  </w:footnote>
  <w:footnote w:id="2">
    <w:p w14:paraId="782339A3" w14:textId="5E808D13" w:rsidR="00386A42" w:rsidRDefault="00386A42">
      <w:pPr>
        <w:pStyle w:val="FootnoteText"/>
      </w:pPr>
      <w:r>
        <w:rPr>
          <w:rStyle w:val="FootnoteReference"/>
        </w:rPr>
        <w:footnoteRef/>
      </w:r>
      <w:hyperlink r:id="rId2" w:history="1">
        <w:r w:rsidRPr="0048638B">
          <w:rPr>
            <w:rStyle w:val="Hyperlink"/>
          </w:rPr>
          <w:t>http://webarchive.nationalarchives.gov.uk/20130422101152/http:/statistics.dwp.gov.uk/asd/asd2/index.php?page=fraud_error_arc</w:t>
        </w:r>
      </w:hyperlink>
      <w:r>
        <w:t xml:space="preserve"> </w:t>
      </w:r>
    </w:p>
  </w:footnote>
  <w:footnote w:id="3">
    <w:p w14:paraId="5C4B5A37" w14:textId="0BDA17A5" w:rsidR="00386A42" w:rsidRDefault="00386A42">
      <w:pPr>
        <w:pStyle w:val="FootnoteText"/>
      </w:pPr>
      <w:r>
        <w:rPr>
          <w:rStyle w:val="FootnoteReference"/>
        </w:rPr>
        <w:footnoteRef/>
      </w:r>
      <w:r>
        <w:t xml:space="preserve"> </w:t>
      </w:r>
      <w:hyperlink r:id="rId3" w:history="1">
        <w:r w:rsidRPr="0048638B">
          <w:rPr>
            <w:rStyle w:val="Hyperlink"/>
          </w:rPr>
          <w:t>https://www.gov.uk/government/statistics/child-and-working-tax-credits-error-and-fraud-statistics-2012-to-2013</w:t>
        </w:r>
      </w:hyperlink>
      <w:r>
        <w:t xml:space="preserve"> </w:t>
      </w:r>
    </w:p>
  </w:footnote>
  <w:footnote w:id="4">
    <w:p w14:paraId="752E99D9" w14:textId="77777777" w:rsidR="00386A42" w:rsidRDefault="00386A42">
      <w:pPr>
        <w:pStyle w:val="FootnoteText"/>
      </w:pPr>
      <w:r>
        <w:rPr>
          <w:rStyle w:val="FootnoteReference"/>
        </w:rPr>
        <w:footnoteRef/>
      </w:r>
      <w:r>
        <w:t xml:space="preserve"> </w:t>
      </w:r>
      <w:hyperlink r:id="rId4" w:history="1">
        <w:r w:rsidRPr="0048638B">
          <w:rPr>
            <w:rStyle w:val="Hyperlink"/>
          </w:rPr>
          <w:t>http://webarchive.nationalarchives.gov.uk/20101128151454/http://www.archive.official-documents.co.uk/document/hmt/5101/5101-03t5.htm</w:t>
        </w:r>
      </w:hyperlink>
    </w:p>
  </w:footnote>
  <w:footnote w:id="5">
    <w:p w14:paraId="17D11ED5" w14:textId="77777777" w:rsidR="00386A42" w:rsidRDefault="00386A42">
      <w:pPr>
        <w:pStyle w:val="FootnoteText"/>
      </w:pPr>
      <w:r>
        <w:rPr>
          <w:rStyle w:val="FootnoteReference"/>
        </w:rPr>
        <w:footnoteRef/>
      </w:r>
      <w:r>
        <w:t xml:space="preserve"> These are the PESA out-turns given by </w:t>
      </w:r>
      <w:proofErr w:type="spellStart"/>
      <w:r>
        <w:t>Ipsos</w:t>
      </w:r>
      <w:proofErr w:type="spellEnd"/>
      <w:r>
        <w:t xml:space="preserve"> MORI alongside the survey, which in turn are the Guardian </w:t>
      </w:r>
      <w:proofErr w:type="spellStart"/>
      <w:r>
        <w:t>Datablog’s</w:t>
      </w:r>
      <w:proofErr w:type="spellEnd"/>
      <w:r>
        <w:t xml:space="preserve"> accessible version of the PESA 2011-12 data at </w:t>
      </w:r>
      <w:hyperlink r:id="rId5" w:anchor="data" w:history="1">
        <w:r w:rsidRPr="0048638B">
          <w:rPr>
            <w:rStyle w:val="Hyperlink"/>
          </w:rPr>
          <w:t>http://www.theguardian.com/news/datablog/2012/dec/04/government-spending-department-2011-12#data</w:t>
        </w:r>
      </w:hyperlink>
      <w:r>
        <w:t>.</w:t>
      </w:r>
    </w:p>
  </w:footnote>
  <w:footnote w:id="6">
    <w:p w14:paraId="4C9894BD" w14:textId="77777777" w:rsidR="00386A42" w:rsidRDefault="00386A42">
      <w:pPr>
        <w:pStyle w:val="FootnoteText"/>
      </w:pPr>
      <w:r>
        <w:rPr>
          <w:rStyle w:val="FootnoteReference"/>
        </w:rPr>
        <w:footnoteRef/>
      </w:r>
      <w:r>
        <w:t xml:space="preserve"> </w:t>
      </w:r>
      <w:hyperlink r:id="rId6" w:history="1">
        <w:r w:rsidRPr="0048638B">
          <w:rPr>
            <w:rStyle w:val="Hyperlink"/>
          </w:rPr>
          <w:t>https://www.gov.uk/government/publications/benefit-expenditure-and-caseload-tables-2013</w:t>
        </w:r>
      </w:hyperlink>
    </w:p>
  </w:footnote>
  <w:footnote w:id="7">
    <w:p w14:paraId="148EFBD1" w14:textId="77777777" w:rsidR="00386A42" w:rsidRDefault="00386A42">
      <w:pPr>
        <w:pStyle w:val="FootnoteText"/>
      </w:pPr>
      <w:r>
        <w:rPr>
          <w:rStyle w:val="FootnoteReference"/>
        </w:rPr>
        <w:footnoteRef/>
      </w:r>
      <w:r>
        <w:t xml:space="preserve"> </w:t>
      </w:r>
      <w:hyperlink r:id="rId7" w:history="1">
        <w:r w:rsidRPr="0048638B">
          <w:rPr>
            <w:rStyle w:val="Hyperlink"/>
          </w:rPr>
          <w:t>https://www.gov.uk/government/publications/child-and-working-tax-credits-statistics-finalised-annual-awards-2012-to-2013</w:t>
        </w:r>
      </w:hyperlink>
    </w:p>
  </w:footnote>
  <w:footnote w:id="8">
    <w:p w14:paraId="4C5F3CA5" w14:textId="77777777" w:rsidR="00386A42" w:rsidRDefault="00386A42">
      <w:pPr>
        <w:pStyle w:val="FootnoteText"/>
      </w:pPr>
      <w:r>
        <w:rPr>
          <w:rStyle w:val="FootnoteReference"/>
        </w:rPr>
        <w:footnoteRef/>
      </w:r>
      <w:r>
        <w:t xml:space="preserve"> </w:t>
      </w:r>
      <w:hyperlink r:id="rId8" w:history="1">
        <w:r w:rsidRPr="0048638B">
          <w:rPr>
            <w:rStyle w:val="Hyperlink"/>
          </w:rPr>
          <w:t>http://webarchive.nationalarchives.gov.uk/20110202195410/http://www.hmrc.gov.uk/wftctables/index.htm</w:t>
        </w:r>
      </w:hyperlink>
      <w:r>
        <w:t xml:space="preserve"> and </w:t>
      </w:r>
      <w:hyperlink r:id="rId9" w:history="1">
        <w:r w:rsidRPr="0048638B">
          <w:rPr>
            <w:rStyle w:val="Hyperlink"/>
          </w:rPr>
          <w:t>http://webarchive.nationalarchives.gov.uk/20110202195410/http://www.hmrc.gov.uk/dptctables/index.htm</w:t>
        </w:r>
      </w:hyperlink>
    </w:p>
  </w:footnote>
  <w:footnote w:id="9">
    <w:p w14:paraId="7CA656DC" w14:textId="77777777" w:rsidR="00386A42" w:rsidRDefault="00386A42">
      <w:pPr>
        <w:pStyle w:val="FootnoteText"/>
      </w:pPr>
      <w:r>
        <w:rPr>
          <w:rStyle w:val="FootnoteReference"/>
        </w:rPr>
        <w:footnoteRef/>
      </w:r>
      <w:r>
        <w:t xml:space="preserve"> Their stated figures for spending on ‘Policing and criminal justice’ (£6bn) is for Home Office spending excluding the border agency, counter-terrorism, NOMIS, and the Ministry of Justice, but even if these are added then this category is not one of the 2-3 largest categories of spending.  Similarly, the stated figures for spending on ‘Working-age benefits’ (£82bn) differ from our estimate (£97bn), but either way this is one of the 2-3 largest categories of spending.</w:t>
      </w:r>
    </w:p>
  </w:footnote>
  <w:footnote w:id="10">
    <w:p w14:paraId="145F3CB9" w14:textId="77777777" w:rsidR="00386A42" w:rsidRDefault="00386A42">
      <w:pPr>
        <w:pStyle w:val="FootnoteText"/>
      </w:pPr>
      <w:r>
        <w:rPr>
          <w:rStyle w:val="FootnoteReference"/>
        </w:rPr>
        <w:footnoteRef/>
      </w:r>
      <w:r>
        <w:t xml:space="preserve"> </w:t>
      </w:r>
      <w:hyperlink r:id="rId10" w:history="1">
        <w:r w:rsidRPr="0048638B">
          <w:rPr>
            <w:rStyle w:val="Hyperlink"/>
          </w:rPr>
          <w:t>http://www.ifs.org.uk/publications/6012</w:t>
        </w:r>
      </w:hyperlink>
      <w:r>
        <w:t xml:space="preserve"> </w:t>
      </w:r>
    </w:p>
  </w:footnote>
  <w:footnote w:id="11">
    <w:p w14:paraId="24A92FFE" w14:textId="77777777" w:rsidR="00386A42" w:rsidRDefault="00386A42">
      <w:pPr>
        <w:pStyle w:val="FootnoteText"/>
      </w:pPr>
      <w:r>
        <w:rPr>
          <w:rStyle w:val="FootnoteReference"/>
        </w:rPr>
        <w:footnoteRef/>
      </w:r>
      <w:r>
        <w:t xml:space="preserve"> </w:t>
      </w:r>
      <w:hyperlink r:id="rId11" w:history="1">
        <w:r w:rsidRPr="0048638B">
          <w:rPr>
            <w:rStyle w:val="Hyperlink"/>
          </w:rPr>
          <w:t>http://www.iea.org.uk/sites/default/files/publications/files/Sharing%20the%20burden%20-%20how%20the%20older%20generation%20should%20suffer%20its%20share%20of%20the%20cuts.pdf</w:t>
        </w:r>
      </w:hyperlink>
      <w:r>
        <w:t xml:space="preserve"> </w:t>
      </w:r>
    </w:p>
  </w:footnote>
  <w:footnote w:id="12">
    <w:p w14:paraId="09A2F240" w14:textId="77777777" w:rsidR="00386A42" w:rsidRDefault="00386A42">
      <w:pPr>
        <w:pStyle w:val="FootnoteText"/>
      </w:pPr>
      <w:r>
        <w:rPr>
          <w:rStyle w:val="FootnoteReference"/>
        </w:rPr>
        <w:footnoteRef/>
      </w:r>
      <w:r>
        <w:t xml:space="preserve"> </w:t>
      </w:r>
      <w:hyperlink r:id="rId12" w:history="1">
        <w:r w:rsidRPr="0048638B">
          <w:rPr>
            <w:rStyle w:val="Hyperlink"/>
          </w:rPr>
          <w:t>http://www.ifs.org.uk/bns/bn13.pdf</w:t>
        </w:r>
      </w:hyperlink>
      <w:r>
        <w:t xml:space="preserve"> </w:t>
      </w:r>
    </w:p>
  </w:footnote>
  <w:footnote w:id="13">
    <w:p w14:paraId="4B3445F5" w14:textId="77777777" w:rsidR="00386A42" w:rsidRDefault="00386A42">
      <w:pPr>
        <w:pStyle w:val="FootnoteText"/>
      </w:pPr>
      <w:r>
        <w:rPr>
          <w:rStyle w:val="FootnoteReference"/>
        </w:rPr>
        <w:footnoteRef/>
      </w:r>
      <w:r>
        <w:t xml:space="preserve"> </w:t>
      </w:r>
      <w:hyperlink r:id="rId13" w:history="1">
        <w:r w:rsidRPr="0048638B">
          <w:rPr>
            <w:rStyle w:val="Hyperlink"/>
          </w:rPr>
          <w:t>https://www.gov.uk/government/uploads/system/uploads/attachment_data/file/175019/welfare-benefits-up-rating-bill-ia.pdf.pdf</w:t>
        </w:r>
      </w:hyperlink>
      <w:r>
        <w:t xml:space="preserve"> </w:t>
      </w:r>
    </w:p>
  </w:footnote>
  <w:footnote w:id="14">
    <w:p w14:paraId="2F6CB780" w14:textId="77777777" w:rsidR="00386A42" w:rsidRDefault="00386A42">
      <w:pPr>
        <w:pStyle w:val="FootnoteText"/>
      </w:pPr>
      <w:r>
        <w:rPr>
          <w:rStyle w:val="FootnoteReference"/>
        </w:rPr>
        <w:footnoteRef/>
      </w:r>
      <w:r>
        <w:t xml:space="preserve"> </w:t>
      </w:r>
      <w:hyperlink r:id="rId14" w:history="1">
        <w:r w:rsidRPr="0048638B">
          <w:rPr>
            <w:rStyle w:val="Hyperlink"/>
          </w:rPr>
          <w:t>http://www.huffingtonpost.co.uk/peter-hain/why-labour-is-wrong-to-cut-winter-fuel-allowance_b_3377239.html</w:t>
        </w:r>
      </w:hyperlink>
      <w:r>
        <w:t xml:space="preserve"> </w:t>
      </w:r>
    </w:p>
  </w:footnote>
  <w:footnote w:id="15">
    <w:p w14:paraId="78C867C3" w14:textId="77777777" w:rsidR="00386A42" w:rsidRDefault="00386A42">
      <w:pPr>
        <w:pStyle w:val="FootnoteText"/>
      </w:pPr>
      <w:r>
        <w:rPr>
          <w:rStyle w:val="FootnoteReference"/>
        </w:rPr>
        <w:footnoteRef/>
      </w:r>
      <w:r>
        <w:t xml:space="preserve"> </w:t>
      </w:r>
      <w:hyperlink r:id="rId15" w:history="1">
        <w:r w:rsidRPr="0048638B">
          <w:rPr>
            <w:rStyle w:val="Hyperlink"/>
          </w:rPr>
          <w:t>https://www.gov.uk/government/uploads/system/uploads/attachment_data/file/138017/social-sector-housing-under-occupation-wr2011-ia.pdf.pdf</w:t>
        </w:r>
      </w:hyperlink>
      <w:r>
        <w:t xml:space="preserve"> </w:t>
      </w:r>
    </w:p>
  </w:footnote>
  <w:footnote w:id="16">
    <w:p w14:paraId="3B41A1DF" w14:textId="77777777" w:rsidR="00386A42" w:rsidRDefault="00386A42">
      <w:pPr>
        <w:pStyle w:val="FootnoteText"/>
      </w:pPr>
      <w:r>
        <w:rPr>
          <w:rStyle w:val="FootnoteReference"/>
        </w:rPr>
        <w:footnoteRef/>
      </w:r>
      <w:r>
        <w:t xml:space="preserve"> </w:t>
      </w:r>
      <w:hyperlink r:id="rId16" w:history="1">
        <w:r w:rsidRPr="0048638B">
          <w:rPr>
            <w:rStyle w:val="Hyperlink"/>
          </w:rPr>
          <w:t>http://www.ifs.org.uk/bns/bn130.pdf</w:t>
        </w:r>
      </w:hyperlink>
      <w:r>
        <w:t xml:space="preserve"> </w:t>
      </w:r>
    </w:p>
  </w:footnote>
  <w:footnote w:id="17">
    <w:p w14:paraId="4F653A31" w14:textId="0798D1E6" w:rsidR="00386A42" w:rsidRDefault="00386A42">
      <w:pPr>
        <w:pStyle w:val="FootnoteText"/>
      </w:pPr>
      <w:r>
        <w:rPr>
          <w:rStyle w:val="FootnoteReference"/>
        </w:rPr>
        <w:footnoteRef/>
      </w:r>
      <w:r>
        <w:t xml:space="preserve"> </w:t>
      </w:r>
      <w:hyperlink r:id="rId17" w:history="1">
        <w:r w:rsidRPr="0048638B">
          <w:rPr>
            <w:rStyle w:val="Hyperlink"/>
          </w:rPr>
          <w:t>https://www.gov.uk/government/statistics/benefit-expenditure-and-caseload-tables-2015</w:t>
        </w:r>
      </w:hyperlink>
      <w:r>
        <w:t xml:space="preserve"> </w:t>
      </w:r>
    </w:p>
  </w:footnote>
  <w:footnote w:id="18">
    <w:p w14:paraId="1B18E313" w14:textId="77777777" w:rsidR="00386A42" w:rsidRDefault="00386A42" w:rsidP="00033D2C">
      <w:pPr>
        <w:pStyle w:val="FootnoteText"/>
      </w:pPr>
      <w:r>
        <w:rPr>
          <w:rStyle w:val="FootnoteReference"/>
        </w:rPr>
        <w:footnoteRef/>
      </w:r>
      <w:r>
        <w:t xml:space="preserve"> This was taken from the Eurostat database, using the ‘LFS series - Detailed annual survey results’</w:t>
      </w:r>
    </w:p>
    <w:p w14:paraId="24CC09C0" w14:textId="77777777" w:rsidR="00386A42" w:rsidRDefault="00797102" w:rsidP="00033D2C">
      <w:pPr>
        <w:pStyle w:val="FootnoteText"/>
      </w:pPr>
      <w:hyperlink r:id="rId18" w:history="1">
        <w:r w:rsidR="00386A42" w:rsidRPr="0048638B">
          <w:rPr>
            <w:rStyle w:val="Hyperlink"/>
          </w:rPr>
          <w:t>http://ec.europa.eu/eurostat/web/lfs/data/database</w:t>
        </w:r>
      </w:hyperlink>
      <w:r w:rsidR="00386A42">
        <w:t xml:space="preserve"> , 28/3/2015</w:t>
      </w:r>
    </w:p>
  </w:footnote>
  <w:footnote w:id="19">
    <w:p w14:paraId="77FDE0C5" w14:textId="11F81D87" w:rsidR="00386A42" w:rsidRDefault="00386A42">
      <w:pPr>
        <w:pStyle w:val="FootnoteText"/>
      </w:pPr>
      <w:r>
        <w:rPr>
          <w:rStyle w:val="FootnoteReference"/>
        </w:rPr>
        <w:footnoteRef/>
      </w:r>
      <w:r>
        <w:t xml:space="preserve"> </w:t>
      </w:r>
      <w:hyperlink r:id="rId19" w:history="1">
        <w:r w:rsidRPr="0061637C">
          <w:rPr>
            <w:rStyle w:val="Hyperlink"/>
          </w:rPr>
          <w:t>http://www.ifs.org.uk/tools_and_resources/fiscal_facts</w:t>
        </w:r>
      </w:hyperlink>
      <w:r>
        <w:t xml:space="preserve"> </w:t>
      </w:r>
    </w:p>
  </w:footnote>
  <w:footnote w:id="20">
    <w:p w14:paraId="273AA9FA" w14:textId="3B36FF18" w:rsidR="00386A42" w:rsidRDefault="00386A42">
      <w:pPr>
        <w:pStyle w:val="FootnoteText"/>
      </w:pPr>
      <w:r>
        <w:rPr>
          <w:rStyle w:val="FootnoteReference"/>
        </w:rPr>
        <w:footnoteRef/>
      </w:r>
      <w:r>
        <w:t xml:space="preserve"> See hypothetical calculations at </w:t>
      </w:r>
      <w:hyperlink r:id="rId20" w:history="1">
        <w:r w:rsidRPr="0061637C">
          <w:rPr>
            <w:rStyle w:val="Hyperlink"/>
          </w:rPr>
          <w:t>http://www.jrf.org.uk/blog/2014/03/better-off-working-than-benefits</w:t>
        </w:r>
      </w:hyperlink>
      <w:r>
        <w:t xml:space="preserve"> </w:t>
      </w:r>
    </w:p>
  </w:footnote>
  <w:footnote w:id="21">
    <w:p w14:paraId="7CFA45EC" w14:textId="57648785" w:rsidR="00386A42" w:rsidRDefault="00386A42">
      <w:pPr>
        <w:pStyle w:val="FootnoteText"/>
      </w:pPr>
      <w:r>
        <w:rPr>
          <w:rStyle w:val="FootnoteReference"/>
        </w:rPr>
        <w:footnoteRef/>
      </w:r>
      <w:r>
        <w:t xml:space="preserve"> </w:t>
      </w:r>
      <w:proofErr w:type="spellStart"/>
      <w:r>
        <w:t>Passported</w:t>
      </w:r>
      <w:proofErr w:type="spellEnd"/>
      <w:r>
        <w:t xml:space="preserve"> benefits taken from </w:t>
      </w:r>
      <w:hyperlink r:id="rId21" w:history="1">
        <w:r w:rsidRPr="0061637C">
          <w:rPr>
            <w:rStyle w:val="Hyperlink"/>
          </w:rPr>
          <w:t>http://www.entitledto.co.uk/help/Passported-benefits</w:t>
        </w:r>
      </w:hyperlink>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43B69"/>
    <w:multiLevelType w:val="hybridMultilevel"/>
    <w:tmpl w:val="16B44342"/>
    <w:lvl w:ilvl="0" w:tplc="052A84DA">
      <w:start w:val="1"/>
      <w:numFmt w:val="decimal"/>
      <w:lvlText w:val="Web Appendix %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
    <w:nsid w:val="20AC1185"/>
    <w:multiLevelType w:val="hybridMultilevel"/>
    <w:tmpl w:val="2CB0BD8E"/>
    <w:lvl w:ilvl="0" w:tplc="F080FDC6">
      <w:start w:val="1"/>
      <w:numFmt w:val="bullet"/>
      <w:lvlText w:val="-"/>
      <w:lvlJc w:val="left"/>
      <w:pPr>
        <w:ind w:left="720" w:hanging="360"/>
      </w:pPr>
      <w:rPr>
        <w:rFonts w:ascii="Calibri" w:eastAsiaTheme="minorHAnsi"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340A1127"/>
    <w:multiLevelType w:val="multilevel"/>
    <w:tmpl w:val="1C6A8B0C"/>
    <w:styleLink w:val="Headingswithcounters"/>
    <w:lvl w:ilvl="0">
      <w:start w:val="1"/>
      <w:numFmt w:val="none"/>
      <w:lvlText w:val=""/>
      <w:lvlJc w:val="left"/>
      <w:pPr>
        <w:ind w:left="0" w:firstLine="0"/>
      </w:pPr>
      <w:rPr>
        <w:rFonts w:hint="default"/>
      </w:rPr>
    </w:lvl>
    <w:lvl w:ilvl="1">
      <w:start w:val="1"/>
      <w:numFmt w:val="decimal"/>
      <w:pStyle w:val="Heading2"/>
      <w:lvlText w:val="Web Appendix %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3">
    <w:nsid w:val="45690A4D"/>
    <w:multiLevelType w:val="multilevel"/>
    <w:tmpl w:val="C120958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
    <w:nsid w:val="51770373"/>
    <w:multiLevelType w:val="hybridMultilevel"/>
    <w:tmpl w:val="0B6EFAEC"/>
    <w:lvl w:ilvl="0" w:tplc="F080FDC6">
      <w:start w:val="1"/>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1EC1CB2"/>
    <w:multiLevelType w:val="multilevel"/>
    <w:tmpl w:val="145A2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77624BDA"/>
    <w:multiLevelType w:val="multilevel"/>
    <w:tmpl w:val="1C6A8B0C"/>
    <w:numStyleLink w:val="Headingswithcounters"/>
  </w:abstractNum>
  <w:abstractNum w:abstractNumId="7">
    <w:nsid w:val="7F261B6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2"/>
  </w:num>
  <w:num w:numId="3">
    <w:abstractNumId w:val="7"/>
  </w:num>
  <w:num w:numId="4">
    <w:abstractNumId w:val="6"/>
  </w:num>
  <w:num w:numId="5">
    <w:abstractNumId w:val="1"/>
  </w:num>
  <w:num w:numId="6">
    <w:abstractNumId w:val="4"/>
  </w:num>
  <w:num w:numId="7">
    <w:abstractNumId w:val="3"/>
  </w:num>
  <w:num w:numId="8">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arlotte Saunders">
    <w15:presenceInfo w15:providerId="Windows Live" w15:userId="1ba8c3bd085476f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0388"/>
    <w:rsid w:val="00000C9D"/>
    <w:rsid w:val="0000165E"/>
    <w:rsid w:val="00001FA5"/>
    <w:rsid w:val="00001FD7"/>
    <w:rsid w:val="000026F4"/>
    <w:rsid w:val="0000275F"/>
    <w:rsid w:val="000034B6"/>
    <w:rsid w:val="00003C4B"/>
    <w:rsid w:val="00003CAD"/>
    <w:rsid w:val="00003FA4"/>
    <w:rsid w:val="00005AB8"/>
    <w:rsid w:val="00005B10"/>
    <w:rsid w:val="00006064"/>
    <w:rsid w:val="00006A9D"/>
    <w:rsid w:val="00006AC3"/>
    <w:rsid w:val="00006E42"/>
    <w:rsid w:val="00007512"/>
    <w:rsid w:val="00007876"/>
    <w:rsid w:val="00007E92"/>
    <w:rsid w:val="000100D3"/>
    <w:rsid w:val="000103C8"/>
    <w:rsid w:val="0001093F"/>
    <w:rsid w:val="00010EA5"/>
    <w:rsid w:val="0001159B"/>
    <w:rsid w:val="000123D4"/>
    <w:rsid w:val="000126D4"/>
    <w:rsid w:val="00012BB7"/>
    <w:rsid w:val="00012FA9"/>
    <w:rsid w:val="00013150"/>
    <w:rsid w:val="000136F5"/>
    <w:rsid w:val="00013742"/>
    <w:rsid w:val="00013B69"/>
    <w:rsid w:val="00013ED2"/>
    <w:rsid w:val="00015ACB"/>
    <w:rsid w:val="00015C7D"/>
    <w:rsid w:val="00016B30"/>
    <w:rsid w:val="00020A5C"/>
    <w:rsid w:val="00021CBF"/>
    <w:rsid w:val="00022FBB"/>
    <w:rsid w:val="00023E3A"/>
    <w:rsid w:val="00023FDF"/>
    <w:rsid w:val="000240EC"/>
    <w:rsid w:val="00024DED"/>
    <w:rsid w:val="0002552F"/>
    <w:rsid w:val="00025CBA"/>
    <w:rsid w:val="00027E90"/>
    <w:rsid w:val="00030123"/>
    <w:rsid w:val="00030453"/>
    <w:rsid w:val="00031C61"/>
    <w:rsid w:val="0003226B"/>
    <w:rsid w:val="000322DE"/>
    <w:rsid w:val="00032417"/>
    <w:rsid w:val="000324A2"/>
    <w:rsid w:val="000324E9"/>
    <w:rsid w:val="00032E6E"/>
    <w:rsid w:val="0003320D"/>
    <w:rsid w:val="0003363E"/>
    <w:rsid w:val="000338A8"/>
    <w:rsid w:val="00033BF1"/>
    <w:rsid w:val="00033D2C"/>
    <w:rsid w:val="0003446F"/>
    <w:rsid w:val="00034AE1"/>
    <w:rsid w:val="000351D7"/>
    <w:rsid w:val="00035624"/>
    <w:rsid w:val="00036F56"/>
    <w:rsid w:val="0003743F"/>
    <w:rsid w:val="000401C6"/>
    <w:rsid w:val="00040672"/>
    <w:rsid w:val="000407F2"/>
    <w:rsid w:val="000421F9"/>
    <w:rsid w:val="00042475"/>
    <w:rsid w:val="00042C05"/>
    <w:rsid w:val="0004315C"/>
    <w:rsid w:val="00044B5F"/>
    <w:rsid w:val="000452B0"/>
    <w:rsid w:val="00045986"/>
    <w:rsid w:val="00045BD6"/>
    <w:rsid w:val="00045F6B"/>
    <w:rsid w:val="0004601A"/>
    <w:rsid w:val="000461F6"/>
    <w:rsid w:val="00046677"/>
    <w:rsid w:val="00046806"/>
    <w:rsid w:val="00046A92"/>
    <w:rsid w:val="00046E53"/>
    <w:rsid w:val="000479B7"/>
    <w:rsid w:val="00050C05"/>
    <w:rsid w:val="00050E83"/>
    <w:rsid w:val="0005104D"/>
    <w:rsid w:val="0005111E"/>
    <w:rsid w:val="0005155B"/>
    <w:rsid w:val="000517AC"/>
    <w:rsid w:val="0005245F"/>
    <w:rsid w:val="00052BBE"/>
    <w:rsid w:val="00052E8A"/>
    <w:rsid w:val="000532CB"/>
    <w:rsid w:val="00053389"/>
    <w:rsid w:val="00053E5E"/>
    <w:rsid w:val="0005438B"/>
    <w:rsid w:val="000543E5"/>
    <w:rsid w:val="00054938"/>
    <w:rsid w:val="000554DD"/>
    <w:rsid w:val="000558EA"/>
    <w:rsid w:val="00055A7C"/>
    <w:rsid w:val="00055CEB"/>
    <w:rsid w:val="000569B2"/>
    <w:rsid w:val="00056DEF"/>
    <w:rsid w:val="00056F99"/>
    <w:rsid w:val="000573CA"/>
    <w:rsid w:val="00057666"/>
    <w:rsid w:val="00057822"/>
    <w:rsid w:val="0006004F"/>
    <w:rsid w:val="00060284"/>
    <w:rsid w:val="000603EB"/>
    <w:rsid w:val="00060912"/>
    <w:rsid w:val="00060CCA"/>
    <w:rsid w:val="00061A14"/>
    <w:rsid w:val="00061CB9"/>
    <w:rsid w:val="00062F34"/>
    <w:rsid w:val="0006394C"/>
    <w:rsid w:val="00063F61"/>
    <w:rsid w:val="00064042"/>
    <w:rsid w:val="00064B5D"/>
    <w:rsid w:val="00064E28"/>
    <w:rsid w:val="00064F5B"/>
    <w:rsid w:val="000658E2"/>
    <w:rsid w:val="000664D1"/>
    <w:rsid w:val="00066BAB"/>
    <w:rsid w:val="00067EAD"/>
    <w:rsid w:val="000702FD"/>
    <w:rsid w:val="000703E2"/>
    <w:rsid w:val="00070A2B"/>
    <w:rsid w:val="00070A2C"/>
    <w:rsid w:val="00071FE1"/>
    <w:rsid w:val="000736FD"/>
    <w:rsid w:val="00073AA6"/>
    <w:rsid w:val="00073B33"/>
    <w:rsid w:val="00074745"/>
    <w:rsid w:val="00074A87"/>
    <w:rsid w:val="00075396"/>
    <w:rsid w:val="000754D6"/>
    <w:rsid w:val="000758F2"/>
    <w:rsid w:val="0007635E"/>
    <w:rsid w:val="00076393"/>
    <w:rsid w:val="0007686E"/>
    <w:rsid w:val="00076AF7"/>
    <w:rsid w:val="0007713A"/>
    <w:rsid w:val="00080BEB"/>
    <w:rsid w:val="00081A56"/>
    <w:rsid w:val="00082154"/>
    <w:rsid w:val="000826E9"/>
    <w:rsid w:val="00082D0D"/>
    <w:rsid w:val="00083053"/>
    <w:rsid w:val="00083E1C"/>
    <w:rsid w:val="000844EF"/>
    <w:rsid w:val="00084FD2"/>
    <w:rsid w:val="00085308"/>
    <w:rsid w:val="00085626"/>
    <w:rsid w:val="00085E6B"/>
    <w:rsid w:val="00085F92"/>
    <w:rsid w:val="00086708"/>
    <w:rsid w:val="00086824"/>
    <w:rsid w:val="00087084"/>
    <w:rsid w:val="00087201"/>
    <w:rsid w:val="00087933"/>
    <w:rsid w:val="000902B3"/>
    <w:rsid w:val="00090315"/>
    <w:rsid w:val="000903B7"/>
    <w:rsid w:val="00090550"/>
    <w:rsid w:val="00090E66"/>
    <w:rsid w:val="00091BA6"/>
    <w:rsid w:val="0009275E"/>
    <w:rsid w:val="0009344A"/>
    <w:rsid w:val="000950D5"/>
    <w:rsid w:val="0009592F"/>
    <w:rsid w:val="00095C56"/>
    <w:rsid w:val="00096090"/>
    <w:rsid w:val="0009661C"/>
    <w:rsid w:val="00096880"/>
    <w:rsid w:val="00096944"/>
    <w:rsid w:val="000970D8"/>
    <w:rsid w:val="00097949"/>
    <w:rsid w:val="000A0C05"/>
    <w:rsid w:val="000A1044"/>
    <w:rsid w:val="000A11EC"/>
    <w:rsid w:val="000A22BC"/>
    <w:rsid w:val="000A2750"/>
    <w:rsid w:val="000A3053"/>
    <w:rsid w:val="000A307A"/>
    <w:rsid w:val="000A5641"/>
    <w:rsid w:val="000A5B95"/>
    <w:rsid w:val="000A62BE"/>
    <w:rsid w:val="000A6512"/>
    <w:rsid w:val="000A6839"/>
    <w:rsid w:val="000A78BC"/>
    <w:rsid w:val="000B05EE"/>
    <w:rsid w:val="000B12F8"/>
    <w:rsid w:val="000B1FEB"/>
    <w:rsid w:val="000B2084"/>
    <w:rsid w:val="000B210E"/>
    <w:rsid w:val="000B26C7"/>
    <w:rsid w:val="000B27B3"/>
    <w:rsid w:val="000B2DC7"/>
    <w:rsid w:val="000B3551"/>
    <w:rsid w:val="000B36A3"/>
    <w:rsid w:val="000B3F5A"/>
    <w:rsid w:val="000B5431"/>
    <w:rsid w:val="000B6493"/>
    <w:rsid w:val="000B667E"/>
    <w:rsid w:val="000B72E3"/>
    <w:rsid w:val="000C0290"/>
    <w:rsid w:val="000C10E1"/>
    <w:rsid w:val="000C2350"/>
    <w:rsid w:val="000C2507"/>
    <w:rsid w:val="000C2987"/>
    <w:rsid w:val="000C2A3C"/>
    <w:rsid w:val="000C3515"/>
    <w:rsid w:val="000C3740"/>
    <w:rsid w:val="000C43D8"/>
    <w:rsid w:val="000C4425"/>
    <w:rsid w:val="000C48CA"/>
    <w:rsid w:val="000C4A54"/>
    <w:rsid w:val="000C4D6B"/>
    <w:rsid w:val="000C5C8B"/>
    <w:rsid w:val="000C62E5"/>
    <w:rsid w:val="000C709B"/>
    <w:rsid w:val="000C70E8"/>
    <w:rsid w:val="000D0840"/>
    <w:rsid w:val="000D227A"/>
    <w:rsid w:val="000D29F5"/>
    <w:rsid w:val="000D2A2D"/>
    <w:rsid w:val="000D2C29"/>
    <w:rsid w:val="000D325D"/>
    <w:rsid w:val="000D3591"/>
    <w:rsid w:val="000D399A"/>
    <w:rsid w:val="000D399C"/>
    <w:rsid w:val="000D424E"/>
    <w:rsid w:val="000D4292"/>
    <w:rsid w:val="000D43CE"/>
    <w:rsid w:val="000D4CBE"/>
    <w:rsid w:val="000D5243"/>
    <w:rsid w:val="000D69D4"/>
    <w:rsid w:val="000D7270"/>
    <w:rsid w:val="000D7483"/>
    <w:rsid w:val="000D79AE"/>
    <w:rsid w:val="000D7CBF"/>
    <w:rsid w:val="000E0E74"/>
    <w:rsid w:val="000E12C3"/>
    <w:rsid w:val="000E180F"/>
    <w:rsid w:val="000E1F36"/>
    <w:rsid w:val="000E2121"/>
    <w:rsid w:val="000E32B2"/>
    <w:rsid w:val="000E33DE"/>
    <w:rsid w:val="000E372A"/>
    <w:rsid w:val="000E3FB6"/>
    <w:rsid w:val="000E49EB"/>
    <w:rsid w:val="000E4ABA"/>
    <w:rsid w:val="000E4B92"/>
    <w:rsid w:val="000E5DE0"/>
    <w:rsid w:val="000E6617"/>
    <w:rsid w:val="000E66CF"/>
    <w:rsid w:val="000E7353"/>
    <w:rsid w:val="000E7661"/>
    <w:rsid w:val="000E7E86"/>
    <w:rsid w:val="000F098C"/>
    <w:rsid w:val="000F0C94"/>
    <w:rsid w:val="000F185F"/>
    <w:rsid w:val="000F20C8"/>
    <w:rsid w:val="000F255A"/>
    <w:rsid w:val="000F2BA4"/>
    <w:rsid w:val="000F3350"/>
    <w:rsid w:val="000F3391"/>
    <w:rsid w:val="000F3508"/>
    <w:rsid w:val="000F36D5"/>
    <w:rsid w:val="000F36F5"/>
    <w:rsid w:val="000F372F"/>
    <w:rsid w:val="000F391B"/>
    <w:rsid w:val="000F3D2A"/>
    <w:rsid w:val="000F4AE9"/>
    <w:rsid w:val="000F5839"/>
    <w:rsid w:val="000F585C"/>
    <w:rsid w:val="000F589C"/>
    <w:rsid w:val="000F643D"/>
    <w:rsid w:val="000F70C3"/>
    <w:rsid w:val="000F7175"/>
    <w:rsid w:val="000F7299"/>
    <w:rsid w:val="000F736D"/>
    <w:rsid w:val="000F7AF5"/>
    <w:rsid w:val="000F7BD9"/>
    <w:rsid w:val="00100959"/>
    <w:rsid w:val="001012DB"/>
    <w:rsid w:val="00101449"/>
    <w:rsid w:val="00101523"/>
    <w:rsid w:val="001023EA"/>
    <w:rsid w:val="001027B1"/>
    <w:rsid w:val="00102DA1"/>
    <w:rsid w:val="00103038"/>
    <w:rsid w:val="00103539"/>
    <w:rsid w:val="00104118"/>
    <w:rsid w:val="001046BA"/>
    <w:rsid w:val="00105C3C"/>
    <w:rsid w:val="00105C84"/>
    <w:rsid w:val="001062F4"/>
    <w:rsid w:val="001063AC"/>
    <w:rsid w:val="001064D7"/>
    <w:rsid w:val="00106619"/>
    <w:rsid w:val="001069AD"/>
    <w:rsid w:val="00107416"/>
    <w:rsid w:val="0010743E"/>
    <w:rsid w:val="00107991"/>
    <w:rsid w:val="0011057E"/>
    <w:rsid w:val="00110817"/>
    <w:rsid w:val="00110941"/>
    <w:rsid w:val="00111516"/>
    <w:rsid w:val="00111684"/>
    <w:rsid w:val="001118C4"/>
    <w:rsid w:val="00111A91"/>
    <w:rsid w:val="00111EF0"/>
    <w:rsid w:val="00112A9E"/>
    <w:rsid w:val="00113EAF"/>
    <w:rsid w:val="00114EAE"/>
    <w:rsid w:val="001155FA"/>
    <w:rsid w:val="00115A7B"/>
    <w:rsid w:val="00115DF2"/>
    <w:rsid w:val="0011658C"/>
    <w:rsid w:val="0011694F"/>
    <w:rsid w:val="00116B52"/>
    <w:rsid w:val="00116D40"/>
    <w:rsid w:val="00117089"/>
    <w:rsid w:val="001172B3"/>
    <w:rsid w:val="00120BB4"/>
    <w:rsid w:val="00120BF7"/>
    <w:rsid w:val="00120DCD"/>
    <w:rsid w:val="001232B9"/>
    <w:rsid w:val="00123BEC"/>
    <w:rsid w:val="001241C4"/>
    <w:rsid w:val="00124954"/>
    <w:rsid w:val="00124B74"/>
    <w:rsid w:val="00125211"/>
    <w:rsid w:val="00125FAB"/>
    <w:rsid w:val="0012713C"/>
    <w:rsid w:val="00127581"/>
    <w:rsid w:val="001275F8"/>
    <w:rsid w:val="00130C41"/>
    <w:rsid w:val="001312A2"/>
    <w:rsid w:val="001316BF"/>
    <w:rsid w:val="0013174C"/>
    <w:rsid w:val="0013209A"/>
    <w:rsid w:val="0013248D"/>
    <w:rsid w:val="00132921"/>
    <w:rsid w:val="001333BE"/>
    <w:rsid w:val="001337A3"/>
    <w:rsid w:val="00133B74"/>
    <w:rsid w:val="00134591"/>
    <w:rsid w:val="0013475D"/>
    <w:rsid w:val="001354BA"/>
    <w:rsid w:val="00135C54"/>
    <w:rsid w:val="0013686E"/>
    <w:rsid w:val="00136EF7"/>
    <w:rsid w:val="001372E4"/>
    <w:rsid w:val="0013753C"/>
    <w:rsid w:val="0013763E"/>
    <w:rsid w:val="00137A19"/>
    <w:rsid w:val="0014047B"/>
    <w:rsid w:val="001405AA"/>
    <w:rsid w:val="00140DD7"/>
    <w:rsid w:val="00141747"/>
    <w:rsid w:val="00141EA8"/>
    <w:rsid w:val="001428A8"/>
    <w:rsid w:val="00142C14"/>
    <w:rsid w:val="00142FCC"/>
    <w:rsid w:val="00143AB2"/>
    <w:rsid w:val="00143B7F"/>
    <w:rsid w:val="00143E69"/>
    <w:rsid w:val="00144F57"/>
    <w:rsid w:val="001466E7"/>
    <w:rsid w:val="00147397"/>
    <w:rsid w:val="00147F5F"/>
    <w:rsid w:val="00150429"/>
    <w:rsid w:val="00151AA3"/>
    <w:rsid w:val="00152569"/>
    <w:rsid w:val="00152FA4"/>
    <w:rsid w:val="00153F11"/>
    <w:rsid w:val="001549FB"/>
    <w:rsid w:val="00155BAC"/>
    <w:rsid w:val="00156806"/>
    <w:rsid w:val="00157315"/>
    <w:rsid w:val="00157C8F"/>
    <w:rsid w:val="001614DD"/>
    <w:rsid w:val="00161C5B"/>
    <w:rsid w:val="00162454"/>
    <w:rsid w:val="0016279D"/>
    <w:rsid w:val="00163AAE"/>
    <w:rsid w:val="00164402"/>
    <w:rsid w:val="0016455C"/>
    <w:rsid w:val="00164908"/>
    <w:rsid w:val="00164FDA"/>
    <w:rsid w:val="001650CB"/>
    <w:rsid w:val="00165B96"/>
    <w:rsid w:val="001662C0"/>
    <w:rsid w:val="001667A2"/>
    <w:rsid w:val="00166BC5"/>
    <w:rsid w:val="001670CB"/>
    <w:rsid w:val="001672B7"/>
    <w:rsid w:val="00167A33"/>
    <w:rsid w:val="00167B31"/>
    <w:rsid w:val="00170597"/>
    <w:rsid w:val="00170730"/>
    <w:rsid w:val="001709E2"/>
    <w:rsid w:val="001713A3"/>
    <w:rsid w:val="00171466"/>
    <w:rsid w:val="0017172A"/>
    <w:rsid w:val="001721CB"/>
    <w:rsid w:val="00172C4A"/>
    <w:rsid w:val="00172E66"/>
    <w:rsid w:val="00173557"/>
    <w:rsid w:val="0017371D"/>
    <w:rsid w:val="00173E9F"/>
    <w:rsid w:val="00173F9A"/>
    <w:rsid w:val="001744B3"/>
    <w:rsid w:val="00174698"/>
    <w:rsid w:val="0017472D"/>
    <w:rsid w:val="00174E0E"/>
    <w:rsid w:val="00175107"/>
    <w:rsid w:val="001762E6"/>
    <w:rsid w:val="00176860"/>
    <w:rsid w:val="001769D4"/>
    <w:rsid w:val="001769FE"/>
    <w:rsid w:val="00176D91"/>
    <w:rsid w:val="00176E65"/>
    <w:rsid w:val="00176EE0"/>
    <w:rsid w:val="00176EF5"/>
    <w:rsid w:val="001774FA"/>
    <w:rsid w:val="00177661"/>
    <w:rsid w:val="00180517"/>
    <w:rsid w:val="001813C5"/>
    <w:rsid w:val="0018145C"/>
    <w:rsid w:val="001814F6"/>
    <w:rsid w:val="00181C4C"/>
    <w:rsid w:val="0018261B"/>
    <w:rsid w:val="00182C61"/>
    <w:rsid w:val="00182C62"/>
    <w:rsid w:val="00183432"/>
    <w:rsid w:val="00184A5A"/>
    <w:rsid w:val="001855A4"/>
    <w:rsid w:val="001869CE"/>
    <w:rsid w:val="00186B20"/>
    <w:rsid w:val="00187829"/>
    <w:rsid w:val="00190025"/>
    <w:rsid w:val="00190E2A"/>
    <w:rsid w:val="0019135B"/>
    <w:rsid w:val="0019178B"/>
    <w:rsid w:val="00191B4B"/>
    <w:rsid w:val="00191B89"/>
    <w:rsid w:val="00192661"/>
    <w:rsid w:val="00192664"/>
    <w:rsid w:val="00192FBC"/>
    <w:rsid w:val="00193593"/>
    <w:rsid w:val="0019366D"/>
    <w:rsid w:val="001944BD"/>
    <w:rsid w:val="00194755"/>
    <w:rsid w:val="00194B7D"/>
    <w:rsid w:val="0019551B"/>
    <w:rsid w:val="001957CB"/>
    <w:rsid w:val="001960F6"/>
    <w:rsid w:val="00196588"/>
    <w:rsid w:val="001970C6"/>
    <w:rsid w:val="001A01C0"/>
    <w:rsid w:val="001A05B6"/>
    <w:rsid w:val="001A0D0C"/>
    <w:rsid w:val="001A1953"/>
    <w:rsid w:val="001A22CD"/>
    <w:rsid w:val="001A2439"/>
    <w:rsid w:val="001A32B2"/>
    <w:rsid w:val="001A45DC"/>
    <w:rsid w:val="001A4A85"/>
    <w:rsid w:val="001A53D1"/>
    <w:rsid w:val="001A5932"/>
    <w:rsid w:val="001A5C99"/>
    <w:rsid w:val="001A6C23"/>
    <w:rsid w:val="001A7983"/>
    <w:rsid w:val="001A7FCF"/>
    <w:rsid w:val="001B0F30"/>
    <w:rsid w:val="001B14D1"/>
    <w:rsid w:val="001B16FB"/>
    <w:rsid w:val="001B178E"/>
    <w:rsid w:val="001B24AB"/>
    <w:rsid w:val="001B2782"/>
    <w:rsid w:val="001B2CBD"/>
    <w:rsid w:val="001B2EF6"/>
    <w:rsid w:val="001B32E5"/>
    <w:rsid w:val="001B3CA4"/>
    <w:rsid w:val="001B449A"/>
    <w:rsid w:val="001B44FB"/>
    <w:rsid w:val="001B4A19"/>
    <w:rsid w:val="001B5088"/>
    <w:rsid w:val="001B5D58"/>
    <w:rsid w:val="001B668F"/>
    <w:rsid w:val="001B6BE3"/>
    <w:rsid w:val="001B7102"/>
    <w:rsid w:val="001B7648"/>
    <w:rsid w:val="001B7C1E"/>
    <w:rsid w:val="001C0C2A"/>
    <w:rsid w:val="001C0C6C"/>
    <w:rsid w:val="001C12F2"/>
    <w:rsid w:val="001C2147"/>
    <w:rsid w:val="001C2761"/>
    <w:rsid w:val="001C299C"/>
    <w:rsid w:val="001C4438"/>
    <w:rsid w:val="001C4660"/>
    <w:rsid w:val="001C5077"/>
    <w:rsid w:val="001C51E6"/>
    <w:rsid w:val="001C63B0"/>
    <w:rsid w:val="001C6BDE"/>
    <w:rsid w:val="001C6C8B"/>
    <w:rsid w:val="001C6E76"/>
    <w:rsid w:val="001C6F43"/>
    <w:rsid w:val="001D0785"/>
    <w:rsid w:val="001D1089"/>
    <w:rsid w:val="001D1480"/>
    <w:rsid w:val="001D14BC"/>
    <w:rsid w:val="001D174A"/>
    <w:rsid w:val="001D18D4"/>
    <w:rsid w:val="001D1D2C"/>
    <w:rsid w:val="001D1EA3"/>
    <w:rsid w:val="001D3183"/>
    <w:rsid w:val="001D367E"/>
    <w:rsid w:val="001D3A35"/>
    <w:rsid w:val="001D3A8D"/>
    <w:rsid w:val="001D5838"/>
    <w:rsid w:val="001D5CBB"/>
    <w:rsid w:val="001D5E0A"/>
    <w:rsid w:val="001D704C"/>
    <w:rsid w:val="001D7080"/>
    <w:rsid w:val="001D7367"/>
    <w:rsid w:val="001D7EBC"/>
    <w:rsid w:val="001D7EEA"/>
    <w:rsid w:val="001E0897"/>
    <w:rsid w:val="001E0EE3"/>
    <w:rsid w:val="001E10D8"/>
    <w:rsid w:val="001E1B15"/>
    <w:rsid w:val="001E315F"/>
    <w:rsid w:val="001E367B"/>
    <w:rsid w:val="001E4121"/>
    <w:rsid w:val="001E541F"/>
    <w:rsid w:val="001E59DE"/>
    <w:rsid w:val="001E6398"/>
    <w:rsid w:val="001E68F9"/>
    <w:rsid w:val="001E6951"/>
    <w:rsid w:val="001E79E6"/>
    <w:rsid w:val="001E7B62"/>
    <w:rsid w:val="001F0968"/>
    <w:rsid w:val="001F13AA"/>
    <w:rsid w:val="001F142C"/>
    <w:rsid w:val="001F1AC6"/>
    <w:rsid w:val="001F257F"/>
    <w:rsid w:val="001F276B"/>
    <w:rsid w:val="001F27DA"/>
    <w:rsid w:val="001F28E6"/>
    <w:rsid w:val="001F2F08"/>
    <w:rsid w:val="001F507C"/>
    <w:rsid w:val="001F5493"/>
    <w:rsid w:val="001F5938"/>
    <w:rsid w:val="001F6DCC"/>
    <w:rsid w:val="0020041A"/>
    <w:rsid w:val="00200A8D"/>
    <w:rsid w:val="0020126A"/>
    <w:rsid w:val="00201F9A"/>
    <w:rsid w:val="0020345A"/>
    <w:rsid w:val="00203BA7"/>
    <w:rsid w:val="00204EA8"/>
    <w:rsid w:val="0020577C"/>
    <w:rsid w:val="00205ADA"/>
    <w:rsid w:val="00205B75"/>
    <w:rsid w:val="00205EB1"/>
    <w:rsid w:val="00207764"/>
    <w:rsid w:val="002103DB"/>
    <w:rsid w:val="0021046A"/>
    <w:rsid w:val="002105BD"/>
    <w:rsid w:val="00211F75"/>
    <w:rsid w:val="002124FC"/>
    <w:rsid w:val="00212530"/>
    <w:rsid w:val="002128C0"/>
    <w:rsid w:val="00214242"/>
    <w:rsid w:val="00215F1F"/>
    <w:rsid w:val="00216E12"/>
    <w:rsid w:val="002174F2"/>
    <w:rsid w:val="00217BF8"/>
    <w:rsid w:val="00220FAC"/>
    <w:rsid w:val="0022146D"/>
    <w:rsid w:val="002214B5"/>
    <w:rsid w:val="00221B31"/>
    <w:rsid w:val="002220EE"/>
    <w:rsid w:val="00222314"/>
    <w:rsid w:val="002225EE"/>
    <w:rsid w:val="00222CBB"/>
    <w:rsid w:val="00224B03"/>
    <w:rsid w:val="00224EA3"/>
    <w:rsid w:val="002265C7"/>
    <w:rsid w:val="00226C78"/>
    <w:rsid w:val="00226D5F"/>
    <w:rsid w:val="00230960"/>
    <w:rsid w:val="002312AB"/>
    <w:rsid w:val="002320FC"/>
    <w:rsid w:val="00233427"/>
    <w:rsid w:val="0023376C"/>
    <w:rsid w:val="002337D2"/>
    <w:rsid w:val="00233883"/>
    <w:rsid w:val="00233DBA"/>
    <w:rsid w:val="00234B8B"/>
    <w:rsid w:val="00234E7C"/>
    <w:rsid w:val="0023515D"/>
    <w:rsid w:val="00235AA8"/>
    <w:rsid w:val="00235AF7"/>
    <w:rsid w:val="00235F57"/>
    <w:rsid w:val="00236513"/>
    <w:rsid w:val="00236B6D"/>
    <w:rsid w:val="00236F10"/>
    <w:rsid w:val="002372A1"/>
    <w:rsid w:val="00237447"/>
    <w:rsid w:val="00237DBB"/>
    <w:rsid w:val="00237F48"/>
    <w:rsid w:val="0024044F"/>
    <w:rsid w:val="002423D2"/>
    <w:rsid w:val="002429F1"/>
    <w:rsid w:val="00242C62"/>
    <w:rsid w:val="00242DC2"/>
    <w:rsid w:val="00242EB9"/>
    <w:rsid w:val="00243D9C"/>
    <w:rsid w:val="00243E02"/>
    <w:rsid w:val="00244505"/>
    <w:rsid w:val="0024598A"/>
    <w:rsid w:val="00245B04"/>
    <w:rsid w:val="00246220"/>
    <w:rsid w:val="00246B13"/>
    <w:rsid w:val="0024719E"/>
    <w:rsid w:val="00247E75"/>
    <w:rsid w:val="0025087E"/>
    <w:rsid w:val="0025108F"/>
    <w:rsid w:val="00251149"/>
    <w:rsid w:val="002511DD"/>
    <w:rsid w:val="0025156F"/>
    <w:rsid w:val="0025169C"/>
    <w:rsid w:val="00251881"/>
    <w:rsid w:val="00251E8E"/>
    <w:rsid w:val="00252041"/>
    <w:rsid w:val="00252974"/>
    <w:rsid w:val="00252D1A"/>
    <w:rsid w:val="002530E5"/>
    <w:rsid w:val="00253B3A"/>
    <w:rsid w:val="002541B0"/>
    <w:rsid w:val="00254379"/>
    <w:rsid w:val="002543CC"/>
    <w:rsid w:val="0025445A"/>
    <w:rsid w:val="0025489D"/>
    <w:rsid w:val="00254ACD"/>
    <w:rsid w:val="0025509C"/>
    <w:rsid w:val="0025545C"/>
    <w:rsid w:val="00255B14"/>
    <w:rsid w:val="0025601A"/>
    <w:rsid w:val="0025661C"/>
    <w:rsid w:val="00256E66"/>
    <w:rsid w:val="00260948"/>
    <w:rsid w:val="002609D0"/>
    <w:rsid w:val="00260C34"/>
    <w:rsid w:val="00260D57"/>
    <w:rsid w:val="00261CB3"/>
    <w:rsid w:val="0026242B"/>
    <w:rsid w:val="00262E6C"/>
    <w:rsid w:val="00263C21"/>
    <w:rsid w:val="00263F60"/>
    <w:rsid w:val="0026432B"/>
    <w:rsid w:val="002648A5"/>
    <w:rsid w:val="00265E63"/>
    <w:rsid w:val="00266942"/>
    <w:rsid w:val="0026783B"/>
    <w:rsid w:val="002678F2"/>
    <w:rsid w:val="00267C09"/>
    <w:rsid w:val="00271010"/>
    <w:rsid w:val="00272128"/>
    <w:rsid w:val="002724A2"/>
    <w:rsid w:val="00272522"/>
    <w:rsid w:val="00272764"/>
    <w:rsid w:val="00272F4A"/>
    <w:rsid w:val="0027387A"/>
    <w:rsid w:val="00275053"/>
    <w:rsid w:val="00275FBA"/>
    <w:rsid w:val="0027687D"/>
    <w:rsid w:val="002770D8"/>
    <w:rsid w:val="00277890"/>
    <w:rsid w:val="0028051B"/>
    <w:rsid w:val="0028108C"/>
    <w:rsid w:val="002810F3"/>
    <w:rsid w:val="00281600"/>
    <w:rsid w:val="00281BF8"/>
    <w:rsid w:val="00282393"/>
    <w:rsid w:val="00282623"/>
    <w:rsid w:val="00283542"/>
    <w:rsid w:val="00283C45"/>
    <w:rsid w:val="00284355"/>
    <w:rsid w:val="00285171"/>
    <w:rsid w:val="0028587C"/>
    <w:rsid w:val="002869B7"/>
    <w:rsid w:val="00290705"/>
    <w:rsid w:val="00290A96"/>
    <w:rsid w:val="00290EA9"/>
    <w:rsid w:val="00291168"/>
    <w:rsid w:val="002913E3"/>
    <w:rsid w:val="00291AF7"/>
    <w:rsid w:val="00291DEC"/>
    <w:rsid w:val="0029385A"/>
    <w:rsid w:val="00293A11"/>
    <w:rsid w:val="002942E2"/>
    <w:rsid w:val="00294DBC"/>
    <w:rsid w:val="00295017"/>
    <w:rsid w:val="0029579B"/>
    <w:rsid w:val="00295827"/>
    <w:rsid w:val="00295B31"/>
    <w:rsid w:val="0029655A"/>
    <w:rsid w:val="0029684D"/>
    <w:rsid w:val="00297A63"/>
    <w:rsid w:val="002A016D"/>
    <w:rsid w:val="002A0DC9"/>
    <w:rsid w:val="002A1ABD"/>
    <w:rsid w:val="002A1C9F"/>
    <w:rsid w:val="002A21B0"/>
    <w:rsid w:val="002A229E"/>
    <w:rsid w:val="002A2E86"/>
    <w:rsid w:val="002A334E"/>
    <w:rsid w:val="002A3378"/>
    <w:rsid w:val="002A3A2C"/>
    <w:rsid w:val="002A3F47"/>
    <w:rsid w:val="002A45D6"/>
    <w:rsid w:val="002A4692"/>
    <w:rsid w:val="002A4ED0"/>
    <w:rsid w:val="002A51F7"/>
    <w:rsid w:val="002A5E00"/>
    <w:rsid w:val="002A6B74"/>
    <w:rsid w:val="002A6F6D"/>
    <w:rsid w:val="002A77D7"/>
    <w:rsid w:val="002A7D6D"/>
    <w:rsid w:val="002B02D7"/>
    <w:rsid w:val="002B1072"/>
    <w:rsid w:val="002B1945"/>
    <w:rsid w:val="002B1948"/>
    <w:rsid w:val="002B2D74"/>
    <w:rsid w:val="002B388C"/>
    <w:rsid w:val="002B40F3"/>
    <w:rsid w:val="002B4566"/>
    <w:rsid w:val="002B503E"/>
    <w:rsid w:val="002B51BE"/>
    <w:rsid w:val="002B5DB3"/>
    <w:rsid w:val="002B5F73"/>
    <w:rsid w:val="002B61F9"/>
    <w:rsid w:val="002B663B"/>
    <w:rsid w:val="002B67B7"/>
    <w:rsid w:val="002B7C15"/>
    <w:rsid w:val="002C04C9"/>
    <w:rsid w:val="002C0721"/>
    <w:rsid w:val="002C0B3B"/>
    <w:rsid w:val="002C0E7C"/>
    <w:rsid w:val="002C134E"/>
    <w:rsid w:val="002C17F8"/>
    <w:rsid w:val="002C2642"/>
    <w:rsid w:val="002C26FE"/>
    <w:rsid w:val="002C2A9A"/>
    <w:rsid w:val="002C37A8"/>
    <w:rsid w:val="002C3E36"/>
    <w:rsid w:val="002C452D"/>
    <w:rsid w:val="002C4A79"/>
    <w:rsid w:val="002C4B98"/>
    <w:rsid w:val="002C4DE0"/>
    <w:rsid w:val="002C5063"/>
    <w:rsid w:val="002C50D0"/>
    <w:rsid w:val="002C54B3"/>
    <w:rsid w:val="002C665C"/>
    <w:rsid w:val="002C77DC"/>
    <w:rsid w:val="002C78AA"/>
    <w:rsid w:val="002C78B4"/>
    <w:rsid w:val="002D0016"/>
    <w:rsid w:val="002D0EA6"/>
    <w:rsid w:val="002D12A0"/>
    <w:rsid w:val="002D173F"/>
    <w:rsid w:val="002D1950"/>
    <w:rsid w:val="002D197F"/>
    <w:rsid w:val="002D2612"/>
    <w:rsid w:val="002D2DB7"/>
    <w:rsid w:val="002D3609"/>
    <w:rsid w:val="002D363C"/>
    <w:rsid w:val="002D3AD2"/>
    <w:rsid w:val="002D4240"/>
    <w:rsid w:val="002D49BB"/>
    <w:rsid w:val="002D5100"/>
    <w:rsid w:val="002D5D87"/>
    <w:rsid w:val="002D6284"/>
    <w:rsid w:val="002D67F5"/>
    <w:rsid w:val="002D6B24"/>
    <w:rsid w:val="002D74EC"/>
    <w:rsid w:val="002E02B7"/>
    <w:rsid w:val="002E0818"/>
    <w:rsid w:val="002E0FE4"/>
    <w:rsid w:val="002E102A"/>
    <w:rsid w:val="002E1789"/>
    <w:rsid w:val="002E1974"/>
    <w:rsid w:val="002E2375"/>
    <w:rsid w:val="002E3702"/>
    <w:rsid w:val="002E3738"/>
    <w:rsid w:val="002E4623"/>
    <w:rsid w:val="002E4916"/>
    <w:rsid w:val="002E4EE8"/>
    <w:rsid w:val="002E50F2"/>
    <w:rsid w:val="002E515D"/>
    <w:rsid w:val="002E52DB"/>
    <w:rsid w:val="002E56C3"/>
    <w:rsid w:val="002E64EC"/>
    <w:rsid w:val="002E677F"/>
    <w:rsid w:val="002E6A69"/>
    <w:rsid w:val="002E6CEA"/>
    <w:rsid w:val="002E6E9F"/>
    <w:rsid w:val="002E7AAC"/>
    <w:rsid w:val="002E7DBB"/>
    <w:rsid w:val="002E7EA7"/>
    <w:rsid w:val="002E7F1E"/>
    <w:rsid w:val="002F05CA"/>
    <w:rsid w:val="002F0DC1"/>
    <w:rsid w:val="002F13B1"/>
    <w:rsid w:val="002F17AA"/>
    <w:rsid w:val="002F2701"/>
    <w:rsid w:val="002F2923"/>
    <w:rsid w:val="002F2B36"/>
    <w:rsid w:val="002F2D17"/>
    <w:rsid w:val="002F32E2"/>
    <w:rsid w:val="002F566B"/>
    <w:rsid w:val="002F5789"/>
    <w:rsid w:val="002F5A87"/>
    <w:rsid w:val="002F5C55"/>
    <w:rsid w:val="003008C5"/>
    <w:rsid w:val="00300E32"/>
    <w:rsid w:val="003017AD"/>
    <w:rsid w:val="003018F2"/>
    <w:rsid w:val="003019AC"/>
    <w:rsid w:val="0030277B"/>
    <w:rsid w:val="00302EF2"/>
    <w:rsid w:val="00303F21"/>
    <w:rsid w:val="003040DE"/>
    <w:rsid w:val="003044D9"/>
    <w:rsid w:val="003048B1"/>
    <w:rsid w:val="00305536"/>
    <w:rsid w:val="00305B7F"/>
    <w:rsid w:val="00306749"/>
    <w:rsid w:val="00306898"/>
    <w:rsid w:val="00307291"/>
    <w:rsid w:val="00307475"/>
    <w:rsid w:val="0031108E"/>
    <w:rsid w:val="003110F0"/>
    <w:rsid w:val="00311FAE"/>
    <w:rsid w:val="00312851"/>
    <w:rsid w:val="003133A3"/>
    <w:rsid w:val="003141E8"/>
    <w:rsid w:val="00315423"/>
    <w:rsid w:val="003159BA"/>
    <w:rsid w:val="00316422"/>
    <w:rsid w:val="003200E6"/>
    <w:rsid w:val="003201CE"/>
    <w:rsid w:val="003207CD"/>
    <w:rsid w:val="0032091F"/>
    <w:rsid w:val="00321828"/>
    <w:rsid w:val="00321DD1"/>
    <w:rsid w:val="003223A0"/>
    <w:rsid w:val="003225FF"/>
    <w:rsid w:val="0032376A"/>
    <w:rsid w:val="00323F45"/>
    <w:rsid w:val="0032450A"/>
    <w:rsid w:val="003256E5"/>
    <w:rsid w:val="00325883"/>
    <w:rsid w:val="003261A5"/>
    <w:rsid w:val="003266CF"/>
    <w:rsid w:val="00326715"/>
    <w:rsid w:val="00326CBE"/>
    <w:rsid w:val="00326D3E"/>
    <w:rsid w:val="00327163"/>
    <w:rsid w:val="00327939"/>
    <w:rsid w:val="00330353"/>
    <w:rsid w:val="003304E9"/>
    <w:rsid w:val="003310B9"/>
    <w:rsid w:val="0033182A"/>
    <w:rsid w:val="00332200"/>
    <w:rsid w:val="00332AC7"/>
    <w:rsid w:val="00333094"/>
    <w:rsid w:val="00333A9E"/>
    <w:rsid w:val="00333EB3"/>
    <w:rsid w:val="00334018"/>
    <w:rsid w:val="00334F82"/>
    <w:rsid w:val="003352EF"/>
    <w:rsid w:val="003359A1"/>
    <w:rsid w:val="003368E7"/>
    <w:rsid w:val="00336FE9"/>
    <w:rsid w:val="00337241"/>
    <w:rsid w:val="003373F7"/>
    <w:rsid w:val="00337894"/>
    <w:rsid w:val="003379BC"/>
    <w:rsid w:val="00341044"/>
    <w:rsid w:val="00341787"/>
    <w:rsid w:val="00341B8C"/>
    <w:rsid w:val="00342042"/>
    <w:rsid w:val="003420A5"/>
    <w:rsid w:val="00342A51"/>
    <w:rsid w:val="00343451"/>
    <w:rsid w:val="0034398E"/>
    <w:rsid w:val="00343A8D"/>
    <w:rsid w:val="00343C8B"/>
    <w:rsid w:val="00343D97"/>
    <w:rsid w:val="00344DD9"/>
    <w:rsid w:val="00346202"/>
    <w:rsid w:val="00351007"/>
    <w:rsid w:val="00351D5E"/>
    <w:rsid w:val="003522D0"/>
    <w:rsid w:val="003526D1"/>
    <w:rsid w:val="003528E0"/>
    <w:rsid w:val="00353159"/>
    <w:rsid w:val="00353C32"/>
    <w:rsid w:val="00353E39"/>
    <w:rsid w:val="00354B70"/>
    <w:rsid w:val="00354F91"/>
    <w:rsid w:val="00355137"/>
    <w:rsid w:val="003552DE"/>
    <w:rsid w:val="0035536A"/>
    <w:rsid w:val="00355BD6"/>
    <w:rsid w:val="00356163"/>
    <w:rsid w:val="0035630D"/>
    <w:rsid w:val="0035727E"/>
    <w:rsid w:val="003577FA"/>
    <w:rsid w:val="00357B40"/>
    <w:rsid w:val="0036093B"/>
    <w:rsid w:val="00360DFF"/>
    <w:rsid w:val="003612B3"/>
    <w:rsid w:val="003612F0"/>
    <w:rsid w:val="00361433"/>
    <w:rsid w:val="0036156A"/>
    <w:rsid w:val="003620BE"/>
    <w:rsid w:val="00364083"/>
    <w:rsid w:val="00364C80"/>
    <w:rsid w:val="00364F94"/>
    <w:rsid w:val="00365358"/>
    <w:rsid w:val="00365579"/>
    <w:rsid w:val="00365E01"/>
    <w:rsid w:val="00366636"/>
    <w:rsid w:val="003673C9"/>
    <w:rsid w:val="00367758"/>
    <w:rsid w:val="00370461"/>
    <w:rsid w:val="0037051C"/>
    <w:rsid w:val="00370AFB"/>
    <w:rsid w:val="00370BD9"/>
    <w:rsid w:val="00371B61"/>
    <w:rsid w:val="00372757"/>
    <w:rsid w:val="00372DB3"/>
    <w:rsid w:val="00372F05"/>
    <w:rsid w:val="0037470D"/>
    <w:rsid w:val="00374BE3"/>
    <w:rsid w:val="00375077"/>
    <w:rsid w:val="00375B79"/>
    <w:rsid w:val="003762C6"/>
    <w:rsid w:val="003764D5"/>
    <w:rsid w:val="003768E9"/>
    <w:rsid w:val="003768FB"/>
    <w:rsid w:val="00376B29"/>
    <w:rsid w:val="00377E87"/>
    <w:rsid w:val="00380143"/>
    <w:rsid w:val="00380D9C"/>
    <w:rsid w:val="003816B8"/>
    <w:rsid w:val="00381AE9"/>
    <w:rsid w:val="00382938"/>
    <w:rsid w:val="00384432"/>
    <w:rsid w:val="003849EA"/>
    <w:rsid w:val="00384A52"/>
    <w:rsid w:val="00384F66"/>
    <w:rsid w:val="00385555"/>
    <w:rsid w:val="00385B33"/>
    <w:rsid w:val="00385DC4"/>
    <w:rsid w:val="00386A42"/>
    <w:rsid w:val="00386FAF"/>
    <w:rsid w:val="003873F4"/>
    <w:rsid w:val="0039086C"/>
    <w:rsid w:val="00390906"/>
    <w:rsid w:val="0039099F"/>
    <w:rsid w:val="00390FCE"/>
    <w:rsid w:val="003916E2"/>
    <w:rsid w:val="00391792"/>
    <w:rsid w:val="00391B20"/>
    <w:rsid w:val="00392247"/>
    <w:rsid w:val="00392386"/>
    <w:rsid w:val="00392A81"/>
    <w:rsid w:val="00392CB2"/>
    <w:rsid w:val="00392F61"/>
    <w:rsid w:val="00393023"/>
    <w:rsid w:val="00393605"/>
    <w:rsid w:val="0039473A"/>
    <w:rsid w:val="00394E1E"/>
    <w:rsid w:val="0039597E"/>
    <w:rsid w:val="00395B52"/>
    <w:rsid w:val="0039673C"/>
    <w:rsid w:val="00396A8F"/>
    <w:rsid w:val="00396E4B"/>
    <w:rsid w:val="003A04EC"/>
    <w:rsid w:val="003A1697"/>
    <w:rsid w:val="003A1AB3"/>
    <w:rsid w:val="003A20F4"/>
    <w:rsid w:val="003A30C1"/>
    <w:rsid w:val="003A42FC"/>
    <w:rsid w:val="003A4BB4"/>
    <w:rsid w:val="003A61E2"/>
    <w:rsid w:val="003A634B"/>
    <w:rsid w:val="003A6A0E"/>
    <w:rsid w:val="003A794F"/>
    <w:rsid w:val="003A7954"/>
    <w:rsid w:val="003B0AAD"/>
    <w:rsid w:val="003B0FA1"/>
    <w:rsid w:val="003B19F3"/>
    <w:rsid w:val="003B1F6F"/>
    <w:rsid w:val="003B236A"/>
    <w:rsid w:val="003B2F9C"/>
    <w:rsid w:val="003B30D2"/>
    <w:rsid w:val="003B4030"/>
    <w:rsid w:val="003B43B5"/>
    <w:rsid w:val="003B458A"/>
    <w:rsid w:val="003B544B"/>
    <w:rsid w:val="003B5515"/>
    <w:rsid w:val="003B64F4"/>
    <w:rsid w:val="003B69E9"/>
    <w:rsid w:val="003B6CF8"/>
    <w:rsid w:val="003B7427"/>
    <w:rsid w:val="003B7724"/>
    <w:rsid w:val="003B7B33"/>
    <w:rsid w:val="003C133E"/>
    <w:rsid w:val="003C1E1D"/>
    <w:rsid w:val="003C2217"/>
    <w:rsid w:val="003C234E"/>
    <w:rsid w:val="003C25F5"/>
    <w:rsid w:val="003C3108"/>
    <w:rsid w:val="003C34DC"/>
    <w:rsid w:val="003C4224"/>
    <w:rsid w:val="003C4FCB"/>
    <w:rsid w:val="003C662F"/>
    <w:rsid w:val="003C754C"/>
    <w:rsid w:val="003D03CC"/>
    <w:rsid w:val="003D0C1F"/>
    <w:rsid w:val="003D0FB8"/>
    <w:rsid w:val="003D225E"/>
    <w:rsid w:val="003D47A3"/>
    <w:rsid w:val="003D5019"/>
    <w:rsid w:val="003D5215"/>
    <w:rsid w:val="003D526F"/>
    <w:rsid w:val="003D5747"/>
    <w:rsid w:val="003D5938"/>
    <w:rsid w:val="003D5C8F"/>
    <w:rsid w:val="003D5FAC"/>
    <w:rsid w:val="003D63FB"/>
    <w:rsid w:val="003D68E0"/>
    <w:rsid w:val="003E0811"/>
    <w:rsid w:val="003E082D"/>
    <w:rsid w:val="003E1258"/>
    <w:rsid w:val="003E2254"/>
    <w:rsid w:val="003E25BA"/>
    <w:rsid w:val="003E38A5"/>
    <w:rsid w:val="003E46BC"/>
    <w:rsid w:val="003E4FDA"/>
    <w:rsid w:val="003E5306"/>
    <w:rsid w:val="003E554D"/>
    <w:rsid w:val="003E596F"/>
    <w:rsid w:val="003E5B74"/>
    <w:rsid w:val="003E5F3E"/>
    <w:rsid w:val="003E7A11"/>
    <w:rsid w:val="003E7AAD"/>
    <w:rsid w:val="003F1123"/>
    <w:rsid w:val="003F1586"/>
    <w:rsid w:val="003F19AA"/>
    <w:rsid w:val="003F2311"/>
    <w:rsid w:val="003F272F"/>
    <w:rsid w:val="003F2CC9"/>
    <w:rsid w:val="003F352E"/>
    <w:rsid w:val="003F399A"/>
    <w:rsid w:val="003F3CD0"/>
    <w:rsid w:val="003F3D66"/>
    <w:rsid w:val="003F3FA5"/>
    <w:rsid w:val="003F477D"/>
    <w:rsid w:val="003F4915"/>
    <w:rsid w:val="003F4E92"/>
    <w:rsid w:val="003F509A"/>
    <w:rsid w:val="003F5809"/>
    <w:rsid w:val="003F5BFA"/>
    <w:rsid w:val="003F63A4"/>
    <w:rsid w:val="003F64C4"/>
    <w:rsid w:val="003F65CF"/>
    <w:rsid w:val="003F6A64"/>
    <w:rsid w:val="003F6F4C"/>
    <w:rsid w:val="003F77AC"/>
    <w:rsid w:val="003F7A2C"/>
    <w:rsid w:val="00400355"/>
    <w:rsid w:val="004009A0"/>
    <w:rsid w:val="00401B61"/>
    <w:rsid w:val="00402B89"/>
    <w:rsid w:val="00403173"/>
    <w:rsid w:val="00403343"/>
    <w:rsid w:val="00403B95"/>
    <w:rsid w:val="0040400C"/>
    <w:rsid w:val="0040433C"/>
    <w:rsid w:val="004045C6"/>
    <w:rsid w:val="004049C6"/>
    <w:rsid w:val="00404BBF"/>
    <w:rsid w:val="004054DA"/>
    <w:rsid w:val="00405694"/>
    <w:rsid w:val="00405FE3"/>
    <w:rsid w:val="00406388"/>
    <w:rsid w:val="0040645F"/>
    <w:rsid w:val="0040656F"/>
    <w:rsid w:val="004070A8"/>
    <w:rsid w:val="004078A0"/>
    <w:rsid w:val="00407DA3"/>
    <w:rsid w:val="00410918"/>
    <w:rsid w:val="00410BDF"/>
    <w:rsid w:val="00411009"/>
    <w:rsid w:val="004112F7"/>
    <w:rsid w:val="00411762"/>
    <w:rsid w:val="00411E06"/>
    <w:rsid w:val="00413439"/>
    <w:rsid w:val="004134B5"/>
    <w:rsid w:val="0041413B"/>
    <w:rsid w:val="0041428E"/>
    <w:rsid w:val="00414438"/>
    <w:rsid w:val="0041485B"/>
    <w:rsid w:val="00415AF0"/>
    <w:rsid w:val="0041636F"/>
    <w:rsid w:val="00416AA5"/>
    <w:rsid w:val="004207C4"/>
    <w:rsid w:val="00420D74"/>
    <w:rsid w:val="00420E31"/>
    <w:rsid w:val="004211E0"/>
    <w:rsid w:val="00421443"/>
    <w:rsid w:val="00421B63"/>
    <w:rsid w:val="004227BA"/>
    <w:rsid w:val="004227D0"/>
    <w:rsid w:val="00422A18"/>
    <w:rsid w:val="00422C87"/>
    <w:rsid w:val="00422F96"/>
    <w:rsid w:val="00423894"/>
    <w:rsid w:val="00423ADC"/>
    <w:rsid w:val="00423CCF"/>
    <w:rsid w:val="00424028"/>
    <w:rsid w:val="0042423E"/>
    <w:rsid w:val="0042451A"/>
    <w:rsid w:val="004246E8"/>
    <w:rsid w:val="004249EE"/>
    <w:rsid w:val="00425880"/>
    <w:rsid w:val="00425B0E"/>
    <w:rsid w:val="004264A6"/>
    <w:rsid w:val="00426AC0"/>
    <w:rsid w:val="00426B28"/>
    <w:rsid w:val="0043002D"/>
    <w:rsid w:val="00431056"/>
    <w:rsid w:val="00431163"/>
    <w:rsid w:val="00431409"/>
    <w:rsid w:val="004315D6"/>
    <w:rsid w:val="00431EDA"/>
    <w:rsid w:val="004323DE"/>
    <w:rsid w:val="00432747"/>
    <w:rsid w:val="00432AF4"/>
    <w:rsid w:val="00432D0A"/>
    <w:rsid w:val="00432EB5"/>
    <w:rsid w:val="00433524"/>
    <w:rsid w:val="004335E5"/>
    <w:rsid w:val="004343E9"/>
    <w:rsid w:val="00434920"/>
    <w:rsid w:val="00434A4F"/>
    <w:rsid w:val="00435016"/>
    <w:rsid w:val="00435BE7"/>
    <w:rsid w:val="00436083"/>
    <w:rsid w:val="00436900"/>
    <w:rsid w:val="0043770A"/>
    <w:rsid w:val="0043776A"/>
    <w:rsid w:val="004401BC"/>
    <w:rsid w:val="004405C0"/>
    <w:rsid w:val="00440658"/>
    <w:rsid w:val="00441653"/>
    <w:rsid w:val="004416EF"/>
    <w:rsid w:val="00442078"/>
    <w:rsid w:val="00442569"/>
    <w:rsid w:val="0044266B"/>
    <w:rsid w:val="00443845"/>
    <w:rsid w:val="0044395B"/>
    <w:rsid w:val="004445D5"/>
    <w:rsid w:val="00444BC6"/>
    <w:rsid w:val="00444F32"/>
    <w:rsid w:val="0044697E"/>
    <w:rsid w:val="004505D4"/>
    <w:rsid w:val="00450B23"/>
    <w:rsid w:val="00451DEE"/>
    <w:rsid w:val="00453A99"/>
    <w:rsid w:val="00453DE9"/>
    <w:rsid w:val="00453F11"/>
    <w:rsid w:val="00454221"/>
    <w:rsid w:val="00454483"/>
    <w:rsid w:val="00454E8E"/>
    <w:rsid w:val="00454EEA"/>
    <w:rsid w:val="0045523A"/>
    <w:rsid w:val="00455A2D"/>
    <w:rsid w:val="00455B88"/>
    <w:rsid w:val="00456101"/>
    <w:rsid w:val="004567BB"/>
    <w:rsid w:val="00456E1D"/>
    <w:rsid w:val="00456EF7"/>
    <w:rsid w:val="0046030C"/>
    <w:rsid w:val="00460953"/>
    <w:rsid w:val="00461065"/>
    <w:rsid w:val="004611A0"/>
    <w:rsid w:val="00461E07"/>
    <w:rsid w:val="00462CE8"/>
    <w:rsid w:val="00462E7E"/>
    <w:rsid w:val="004632DB"/>
    <w:rsid w:val="00463C66"/>
    <w:rsid w:val="004659A1"/>
    <w:rsid w:val="004659CC"/>
    <w:rsid w:val="00465D94"/>
    <w:rsid w:val="00465DA8"/>
    <w:rsid w:val="00466039"/>
    <w:rsid w:val="004666CC"/>
    <w:rsid w:val="004679C4"/>
    <w:rsid w:val="00467C79"/>
    <w:rsid w:val="00467FA2"/>
    <w:rsid w:val="004700F6"/>
    <w:rsid w:val="00470258"/>
    <w:rsid w:val="00470289"/>
    <w:rsid w:val="004713A6"/>
    <w:rsid w:val="00471776"/>
    <w:rsid w:val="004726A0"/>
    <w:rsid w:val="004727FC"/>
    <w:rsid w:val="00472C67"/>
    <w:rsid w:val="00472CF8"/>
    <w:rsid w:val="00472EC0"/>
    <w:rsid w:val="004748F3"/>
    <w:rsid w:val="0047497B"/>
    <w:rsid w:val="004751C4"/>
    <w:rsid w:val="004753D4"/>
    <w:rsid w:val="004761B6"/>
    <w:rsid w:val="004764A3"/>
    <w:rsid w:val="0047682A"/>
    <w:rsid w:val="00476C9A"/>
    <w:rsid w:val="0047759E"/>
    <w:rsid w:val="00477892"/>
    <w:rsid w:val="00480676"/>
    <w:rsid w:val="004810B8"/>
    <w:rsid w:val="00481191"/>
    <w:rsid w:val="004819DE"/>
    <w:rsid w:val="00482E7D"/>
    <w:rsid w:val="0048337F"/>
    <w:rsid w:val="004839C7"/>
    <w:rsid w:val="00484678"/>
    <w:rsid w:val="004846C7"/>
    <w:rsid w:val="00484AD9"/>
    <w:rsid w:val="00484F78"/>
    <w:rsid w:val="00485CB1"/>
    <w:rsid w:val="00485E38"/>
    <w:rsid w:val="0048623D"/>
    <w:rsid w:val="004865C3"/>
    <w:rsid w:val="00486657"/>
    <w:rsid w:val="00486662"/>
    <w:rsid w:val="00486920"/>
    <w:rsid w:val="0048725C"/>
    <w:rsid w:val="00487C8B"/>
    <w:rsid w:val="00490196"/>
    <w:rsid w:val="004901A9"/>
    <w:rsid w:val="00490255"/>
    <w:rsid w:val="00490C83"/>
    <w:rsid w:val="0049135F"/>
    <w:rsid w:val="00491BA1"/>
    <w:rsid w:val="004921F0"/>
    <w:rsid w:val="0049228F"/>
    <w:rsid w:val="004923AA"/>
    <w:rsid w:val="00492494"/>
    <w:rsid w:val="004928B7"/>
    <w:rsid w:val="00493876"/>
    <w:rsid w:val="0049395A"/>
    <w:rsid w:val="00493C5D"/>
    <w:rsid w:val="00494CFF"/>
    <w:rsid w:val="00494FB1"/>
    <w:rsid w:val="00495093"/>
    <w:rsid w:val="004955B5"/>
    <w:rsid w:val="004962CB"/>
    <w:rsid w:val="00496AA6"/>
    <w:rsid w:val="00496C21"/>
    <w:rsid w:val="00496ED9"/>
    <w:rsid w:val="004970E7"/>
    <w:rsid w:val="004978F4"/>
    <w:rsid w:val="00497B52"/>
    <w:rsid w:val="004A13AF"/>
    <w:rsid w:val="004A1972"/>
    <w:rsid w:val="004A1E1B"/>
    <w:rsid w:val="004A2058"/>
    <w:rsid w:val="004A21BB"/>
    <w:rsid w:val="004A22E4"/>
    <w:rsid w:val="004A2699"/>
    <w:rsid w:val="004A285F"/>
    <w:rsid w:val="004A2C9D"/>
    <w:rsid w:val="004A2F9B"/>
    <w:rsid w:val="004A39DE"/>
    <w:rsid w:val="004A3F90"/>
    <w:rsid w:val="004A425D"/>
    <w:rsid w:val="004A447E"/>
    <w:rsid w:val="004A5DD0"/>
    <w:rsid w:val="004A607A"/>
    <w:rsid w:val="004B1256"/>
    <w:rsid w:val="004B12FC"/>
    <w:rsid w:val="004B18B0"/>
    <w:rsid w:val="004B1C81"/>
    <w:rsid w:val="004B2F8C"/>
    <w:rsid w:val="004B44EE"/>
    <w:rsid w:val="004B46F9"/>
    <w:rsid w:val="004B52A9"/>
    <w:rsid w:val="004B5BB0"/>
    <w:rsid w:val="004B6DE8"/>
    <w:rsid w:val="004B7C10"/>
    <w:rsid w:val="004B7C63"/>
    <w:rsid w:val="004B7E32"/>
    <w:rsid w:val="004C061D"/>
    <w:rsid w:val="004C0E30"/>
    <w:rsid w:val="004C0EEB"/>
    <w:rsid w:val="004C12FD"/>
    <w:rsid w:val="004C1E6A"/>
    <w:rsid w:val="004C2493"/>
    <w:rsid w:val="004C2A85"/>
    <w:rsid w:val="004C35A9"/>
    <w:rsid w:val="004C360B"/>
    <w:rsid w:val="004C37E5"/>
    <w:rsid w:val="004C3EDF"/>
    <w:rsid w:val="004C56D6"/>
    <w:rsid w:val="004C599D"/>
    <w:rsid w:val="004C5D6E"/>
    <w:rsid w:val="004C5E01"/>
    <w:rsid w:val="004C5F59"/>
    <w:rsid w:val="004C6B5B"/>
    <w:rsid w:val="004C7048"/>
    <w:rsid w:val="004C7855"/>
    <w:rsid w:val="004C7CA5"/>
    <w:rsid w:val="004C7E10"/>
    <w:rsid w:val="004D079B"/>
    <w:rsid w:val="004D0E20"/>
    <w:rsid w:val="004D18EB"/>
    <w:rsid w:val="004D1A49"/>
    <w:rsid w:val="004D2005"/>
    <w:rsid w:val="004D32B1"/>
    <w:rsid w:val="004D339C"/>
    <w:rsid w:val="004D4455"/>
    <w:rsid w:val="004D445C"/>
    <w:rsid w:val="004D479D"/>
    <w:rsid w:val="004D4962"/>
    <w:rsid w:val="004D53B2"/>
    <w:rsid w:val="004D6A89"/>
    <w:rsid w:val="004D6AE2"/>
    <w:rsid w:val="004D6C72"/>
    <w:rsid w:val="004D6CA3"/>
    <w:rsid w:val="004D6FBC"/>
    <w:rsid w:val="004D76B6"/>
    <w:rsid w:val="004E16F6"/>
    <w:rsid w:val="004E21B0"/>
    <w:rsid w:val="004E2E49"/>
    <w:rsid w:val="004E36A3"/>
    <w:rsid w:val="004E381D"/>
    <w:rsid w:val="004E4835"/>
    <w:rsid w:val="004E5B6B"/>
    <w:rsid w:val="004E6228"/>
    <w:rsid w:val="004E6566"/>
    <w:rsid w:val="004E69AF"/>
    <w:rsid w:val="004E6D26"/>
    <w:rsid w:val="004F08F9"/>
    <w:rsid w:val="004F092A"/>
    <w:rsid w:val="004F1DEF"/>
    <w:rsid w:val="004F2D20"/>
    <w:rsid w:val="004F2EFB"/>
    <w:rsid w:val="004F4349"/>
    <w:rsid w:val="004F4909"/>
    <w:rsid w:val="004F4CCD"/>
    <w:rsid w:val="004F50C9"/>
    <w:rsid w:val="004F55E2"/>
    <w:rsid w:val="004F5760"/>
    <w:rsid w:val="004F5E26"/>
    <w:rsid w:val="004F65BF"/>
    <w:rsid w:val="004F6DD8"/>
    <w:rsid w:val="004F6F68"/>
    <w:rsid w:val="004F71D2"/>
    <w:rsid w:val="004F7405"/>
    <w:rsid w:val="004F7476"/>
    <w:rsid w:val="004F796B"/>
    <w:rsid w:val="004F7E06"/>
    <w:rsid w:val="0050023A"/>
    <w:rsid w:val="00500419"/>
    <w:rsid w:val="00500F5E"/>
    <w:rsid w:val="00501968"/>
    <w:rsid w:val="0050232D"/>
    <w:rsid w:val="00503B95"/>
    <w:rsid w:val="00503D91"/>
    <w:rsid w:val="00503F3D"/>
    <w:rsid w:val="00504DE6"/>
    <w:rsid w:val="00504E0F"/>
    <w:rsid w:val="00505790"/>
    <w:rsid w:val="00505896"/>
    <w:rsid w:val="00505C64"/>
    <w:rsid w:val="00505C66"/>
    <w:rsid w:val="00507336"/>
    <w:rsid w:val="00507C15"/>
    <w:rsid w:val="00507D84"/>
    <w:rsid w:val="005106E2"/>
    <w:rsid w:val="005125D3"/>
    <w:rsid w:val="00512677"/>
    <w:rsid w:val="00512AAF"/>
    <w:rsid w:val="00512F61"/>
    <w:rsid w:val="005134A0"/>
    <w:rsid w:val="005142B6"/>
    <w:rsid w:val="005155AF"/>
    <w:rsid w:val="00517A11"/>
    <w:rsid w:val="00517BA8"/>
    <w:rsid w:val="00517D9C"/>
    <w:rsid w:val="0052019C"/>
    <w:rsid w:val="00520455"/>
    <w:rsid w:val="00521815"/>
    <w:rsid w:val="00521972"/>
    <w:rsid w:val="00521E63"/>
    <w:rsid w:val="005222B6"/>
    <w:rsid w:val="00522688"/>
    <w:rsid w:val="00523B23"/>
    <w:rsid w:val="005240B9"/>
    <w:rsid w:val="0052459A"/>
    <w:rsid w:val="00524E68"/>
    <w:rsid w:val="005252A4"/>
    <w:rsid w:val="00525585"/>
    <w:rsid w:val="005258AA"/>
    <w:rsid w:val="005262F8"/>
    <w:rsid w:val="005266F6"/>
    <w:rsid w:val="00530AEB"/>
    <w:rsid w:val="00530D2A"/>
    <w:rsid w:val="00531124"/>
    <w:rsid w:val="0053148E"/>
    <w:rsid w:val="00531D2D"/>
    <w:rsid w:val="00532DC1"/>
    <w:rsid w:val="005339A9"/>
    <w:rsid w:val="00533E86"/>
    <w:rsid w:val="0053463D"/>
    <w:rsid w:val="00534EEA"/>
    <w:rsid w:val="005354AA"/>
    <w:rsid w:val="00535A36"/>
    <w:rsid w:val="005362D2"/>
    <w:rsid w:val="005369C2"/>
    <w:rsid w:val="00536D38"/>
    <w:rsid w:val="00536F6D"/>
    <w:rsid w:val="00537274"/>
    <w:rsid w:val="005373F3"/>
    <w:rsid w:val="00537CAB"/>
    <w:rsid w:val="005408FF"/>
    <w:rsid w:val="0054114A"/>
    <w:rsid w:val="005419E9"/>
    <w:rsid w:val="00541BD9"/>
    <w:rsid w:val="00541C8C"/>
    <w:rsid w:val="005420D4"/>
    <w:rsid w:val="00542A7C"/>
    <w:rsid w:val="00542A8C"/>
    <w:rsid w:val="00542E60"/>
    <w:rsid w:val="00542F0C"/>
    <w:rsid w:val="005434AA"/>
    <w:rsid w:val="00544204"/>
    <w:rsid w:val="0054460F"/>
    <w:rsid w:val="0054526A"/>
    <w:rsid w:val="00545BD9"/>
    <w:rsid w:val="0054702D"/>
    <w:rsid w:val="0054712A"/>
    <w:rsid w:val="00547C1F"/>
    <w:rsid w:val="00547ECA"/>
    <w:rsid w:val="00551471"/>
    <w:rsid w:val="00551D32"/>
    <w:rsid w:val="00552350"/>
    <w:rsid w:val="005527B6"/>
    <w:rsid w:val="0055308F"/>
    <w:rsid w:val="005532DB"/>
    <w:rsid w:val="0055335D"/>
    <w:rsid w:val="005534A9"/>
    <w:rsid w:val="00553583"/>
    <w:rsid w:val="00553893"/>
    <w:rsid w:val="00553A0B"/>
    <w:rsid w:val="005540DE"/>
    <w:rsid w:val="00555A3C"/>
    <w:rsid w:val="00556EC3"/>
    <w:rsid w:val="0055761A"/>
    <w:rsid w:val="005577C6"/>
    <w:rsid w:val="00560449"/>
    <w:rsid w:val="005604DA"/>
    <w:rsid w:val="0056069C"/>
    <w:rsid w:val="0056102D"/>
    <w:rsid w:val="00561188"/>
    <w:rsid w:val="00561F64"/>
    <w:rsid w:val="005627AA"/>
    <w:rsid w:val="00562B54"/>
    <w:rsid w:val="00563F99"/>
    <w:rsid w:val="00564601"/>
    <w:rsid w:val="00564DCD"/>
    <w:rsid w:val="00564F62"/>
    <w:rsid w:val="00567B13"/>
    <w:rsid w:val="00567B45"/>
    <w:rsid w:val="00570195"/>
    <w:rsid w:val="00570600"/>
    <w:rsid w:val="00570F66"/>
    <w:rsid w:val="005712C8"/>
    <w:rsid w:val="00571562"/>
    <w:rsid w:val="005719BE"/>
    <w:rsid w:val="00571A44"/>
    <w:rsid w:val="00572ABC"/>
    <w:rsid w:val="005738BD"/>
    <w:rsid w:val="005739FC"/>
    <w:rsid w:val="00574AC2"/>
    <w:rsid w:val="0057501F"/>
    <w:rsid w:val="00575286"/>
    <w:rsid w:val="005757EE"/>
    <w:rsid w:val="0057601B"/>
    <w:rsid w:val="00576C97"/>
    <w:rsid w:val="00576F98"/>
    <w:rsid w:val="0057715E"/>
    <w:rsid w:val="00577233"/>
    <w:rsid w:val="00580132"/>
    <w:rsid w:val="00580C85"/>
    <w:rsid w:val="00580D19"/>
    <w:rsid w:val="0058190F"/>
    <w:rsid w:val="00581C99"/>
    <w:rsid w:val="00582032"/>
    <w:rsid w:val="00582198"/>
    <w:rsid w:val="005829A4"/>
    <w:rsid w:val="0058300C"/>
    <w:rsid w:val="00583872"/>
    <w:rsid w:val="00584F66"/>
    <w:rsid w:val="005857D4"/>
    <w:rsid w:val="00586346"/>
    <w:rsid w:val="00586387"/>
    <w:rsid w:val="005870A3"/>
    <w:rsid w:val="00587113"/>
    <w:rsid w:val="005875F1"/>
    <w:rsid w:val="00587B7C"/>
    <w:rsid w:val="00590B75"/>
    <w:rsid w:val="00591803"/>
    <w:rsid w:val="005918BF"/>
    <w:rsid w:val="00591C59"/>
    <w:rsid w:val="00591E5C"/>
    <w:rsid w:val="00591EE8"/>
    <w:rsid w:val="00591FD2"/>
    <w:rsid w:val="005930DF"/>
    <w:rsid w:val="00595559"/>
    <w:rsid w:val="00595EDA"/>
    <w:rsid w:val="005962C3"/>
    <w:rsid w:val="00596F9E"/>
    <w:rsid w:val="0059705C"/>
    <w:rsid w:val="00597071"/>
    <w:rsid w:val="005974EA"/>
    <w:rsid w:val="005A0125"/>
    <w:rsid w:val="005A08AC"/>
    <w:rsid w:val="005A0F8F"/>
    <w:rsid w:val="005A11C0"/>
    <w:rsid w:val="005A1249"/>
    <w:rsid w:val="005A1A4D"/>
    <w:rsid w:val="005A1AF2"/>
    <w:rsid w:val="005A1F34"/>
    <w:rsid w:val="005A259D"/>
    <w:rsid w:val="005A2776"/>
    <w:rsid w:val="005A2F33"/>
    <w:rsid w:val="005A306B"/>
    <w:rsid w:val="005A307C"/>
    <w:rsid w:val="005A313A"/>
    <w:rsid w:val="005A3332"/>
    <w:rsid w:val="005A3CB9"/>
    <w:rsid w:val="005A3DF6"/>
    <w:rsid w:val="005A45CC"/>
    <w:rsid w:val="005A4671"/>
    <w:rsid w:val="005A4CEE"/>
    <w:rsid w:val="005A4F06"/>
    <w:rsid w:val="005A5025"/>
    <w:rsid w:val="005A58C3"/>
    <w:rsid w:val="005A59A1"/>
    <w:rsid w:val="005A5DD2"/>
    <w:rsid w:val="005A6786"/>
    <w:rsid w:val="005A67D8"/>
    <w:rsid w:val="005A681A"/>
    <w:rsid w:val="005B075B"/>
    <w:rsid w:val="005B0902"/>
    <w:rsid w:val="005B0EB3"/>
    <w:rsid w:val="005B2D91"/>
    <w:rsid w:val="005B30BA"/>
    <w:rsid w:val="005B328E"/>
    <w:rsid w:val="005B3A7D"/>
    <w:rsid w:val="005B411E"/>
    <w:rsid w:val="005B4328"/>
    <w:rsid w:val="005B5969"/>
    <w:rsid w:val="005B64B9"/>
    <w:rsid w:val="005B6562"/>
    <w:rsid w:val="005B6664"/>
    <w:rsid w:val="005B7D08"/>
    <w:rsid w:val="005C03D6"/>
    <w:rsid w:val="005C087C"/>
    <w:rsid w:val="005C1144"/>
    <w:rsid w:val="005C1C33"/>
    <w:rsid w:val="005C214F"/>
    <w:rsid w:val="005C2788"/>
    <w:rsid w:val="005C2C4F"/>
    <w:rsid w:val="005C31A8"/>
    <w:rsid w:val="005C3CB1"/>
    <w:rsid w:val="005C4179"/>
    <w:rsid w:val="005C522C"/>
    <w:rsid w:val="005C615F"/>
    <w:rsid w:val="005C6684"/>
    <w:rsid w:val="005C691D"/>
    <w:rsid w:val="005C7FF1"/>
    <w:rsid w:val="005D066A"/>
    <w:rsid w:val="005D0BAE"/>
    <w:rsid w:val="005D1342"/>
    <w:rsid w:val="005D13A1"/>
    <w:rsid w:val="005D1908"/>
    <w:rsid w:val="005D2084"/>
    <w:rsid w:val="005D2ACE"/>
    <w:rsid w:val="005D2BA9"/>
    <w:rsid w:val="005D2C55"/>
    <w:rsid w:val="005D36DE"/>
    <w:rsid w:val="005D3840"/>
    <w:rsid w:val="005D4B70"/>
    <w:rsid w:val="005D5B6C"/>
    <w:rsid w:val="005D5D3B"/>
    <w:rsid w:val="005D6EE5"/>
    <w:rsid w:val="005E01FF"/>
    <w:rsid w:val="005E11B2"/>
    <w:rsid w:val="005E1821"/>
    <w:rsid w:val="005E186A"/>
    <w:rsid w:val="005E21CF"/>
    <w:rsid w:val="005E4F07"/>
    <w:rsid w:val="005E59E0"/>
    <w:rsid w:val="005E701E"/>
    <w:rsid w:val="005E77A8"/>
    <w:rsid w:val="005E7E93"/>
    <w:rsid w:val="005F006C"/>
    <w:rsid w:val="005F070B"/>
    <w:rsid w:val="005F080D"/>
    <w:rsid w:val="005F133A"/>
    <w:rsid w:val="005F162C"/>
    <w:rsid w:val="005F17B6"/>
    <w:rsid w:val="005F2BAD"/>
    <w:rsid w:val="005F2C5D"/>
    <w:rsid w:val="005F2DB4"/>
    <w:rsid w:val="005F3872"/>
    <w:rsid w:val="005F38EE"/>
    <w:rsid w:val="005F4B15"/>
    <w:rsid w:val="005F6110"/>
    <w:rsid w:val="005F623D"/>
    <w:rsid w:val="005F64CB"/>
    <w:rsid w:val="005F653C"/>
    <w:rsid w:val="005F6914"/>
    <w:rsid w:val="005F708D"/>
    <w:rsid w:val="005F71A3"/>
    <w:rsid w:val="005F7B75"/>
    <w:rsid w:val="00600821"/>
    <w:rsid w:val="00600E54"/>
    <w:rsid w:val="00601A96"/>
    <w:rsid w:val="00601C70"/>
    <w:rsid w:val="00602119"/>
    <w:rsid w:val="006023CB"/>
    <w:rsid w:val="0060241C"/>
    <w:rsid w:val="00602FC4"/>
    <w:rsid w:val="00603B4B"/>
    <w:rsid w:val="00605E14"/>
    <w:rsid w:val="006061DB"/>
    <w:rsid w:val="00606575"/>
    <w:rsid w:val="0060690B"/>
    <w:rsid w:val="00607738"/>
    <w:rsid w:val="00610241"/>
    <w:rsid w:val="006103BB"/>
    <w:rsid w:val="00610486"/>
    <w:rsid w:val="00610808"/>
    <w:rsid w:val="00610D3E"/>
    <w:rsid w:val="006113AD"/>
    <w:rsid w:val="00611EF7"/>
    <w:rsid w:val="00611F33"/>
    <w:rsid w:val="0061250D"/>
    <w:rsid w:val="0061290E"/>
    <w:rsid w:val="0061293C"/>
    <w:rsid w:val="0061356B"/>
    <w:rsid w:val="006135CC"/>
    <w:rsid w:val="00613628"/>
    <w:rsid w:val="00614002"/>
    <w:rsid w:val="00614F89"/>
    <w:rsid w:val="00614FE0"/>
    <w:rsid w:val="0061521C"/>
    <w:rsid w:val="00616EBF"/>
    <w:rsid w:val="006176D8"/>
    <w:rsid w:val="00617A3C"/>
    <w:rsid w:val="00620169"/>
    <w:rsid w:val="0062053D"/>
    <w:rsid w:val="00620CB7"/>
    <w:rsid w:val="0062105B"/>
    <w:rsid w:val="006210EF"/>
    <w:rsid w:val="00621BBA"/>
    <w:rsid w:val="00622B5A"/>
    <w:rsid w:val="00624CA7"/>
    <w:rsid w:val="00624CAA"/>
    <w:rsid w:val="00624F2F"/>
    <w:rsid w:val="0062558B"/>
    <w:rsid w:val="00625E3A"/>
    <w:rsid w:val="00625FEC"/>
    <w:rsid w:val="006264CD"/>
    <w:rsid w:val="00626D67"/>
    <w:rsid w:val="0062796F"/>
    <w:rsid w:val="006305F8"/>
    <w:rsid w:val="00630883"/>
    <w:rsid w:val="00630C7B"/>
    <w:rsid w:val="00630E1C"/>
    <w:rsid w:val="006312BE"/>
    <w:rsid w:val="006313FC"/>
    <w:rsid w:val="00631927"/>
    <w:rsid w:val="0063233F"/>
    <w:rsid w:val="0063451B"/>
    <w:rsid w:val="006346F7"/>
    <w:rsid w:val="00634DA7"/>
    <w:rsid w:val="00635278"/>
    <w:rsid w:val="00635BC3"/>
    <w:rsid w:val="00636261"/>
    <w:rsid w:val="00636816"/>
    <w:rsid w:val="00636C9B"/>
    <w:rsid w:val="006375FD"/>
    <w:rsid w:val="00640727"/>
    <w:rsid w:val="00640B18"/>
    <w:rsid w:val="00640D4B"/>
    <w:rsid w:val="00641525"/>
    <w:rsid w:val="006427FB"/>
    <w:rsid w:val="00642CFD"/>
    <w:rsid w:val="00643B63"/>
    <w:rsid w:val="00644E50"/>
    <w:rsid w:val="006450A1"/>
    <w:rsid w:val="0064559F"/>
    <w:rsid w:val="006462A9"/>
    <w:rsid w:val="00646947"/>
    <w:rsid w:val="006471BF"/>
    <w:rsid w:val="00650254"/>
    <w:rsid w:val="00650ADD"/>
    <w:rsid w:val="0065154F"/>
    <w:rsid w:val="006516B8"/>
    <w:rsid w:val="00651935"/>
    <w:rsid w:val="0065230E"/>
    <w:rsid w:val="00653365"/>
    <w:rsid w:val="00653CC4"/>
    <w:rsid w:val="00653D8C"/>
    <w:rsid w:val="00653EDE"/>
    <w:rsid w:val="00653EF3"/>
    <w:rsid w:val="00653F6D"/>
    <w:rsid w:val="0065438A"/>
    <w:rsid w:val="006546BD"/>
    <w:rsid w:val="006547CE"/>
    <w:rsid w:val="00654995"/>
    <w:rsid w:val="00654BD3"/>
    <w:rsid w:val="00654F06"/>
    <w:rsid w:val="00655257"/>
    <w:rsid w:val="00655788"/>
    <w:rsid w:val="00655EE7"/>
    <w:rsid w:val="00656357"/>
    <w:rsid w:val="00656674"/>
    <w:rsid w:val="006575BF"/>
    <w:rsid w:val="00660289"/>
    <w:rsid w:val="00660322"/>
    <w:rsid w:val="0066047C"/>
    <w:rsid w:val="00660634"/>
    <w:rsid w:val="006606C3"/>
    <w:rsid w:val="0066081D"/>
    <w:rsid w:val="00660949"/>
    <w:rsid w:val="006610E8"/>
    <w:rsid w:val="00661141"/>
    <w:rsid w:val="006616BC"/>
    <w:rsid w:val="00661D19"/>
    <w:rsid w:val="00662AC5"/>
    <w:rsid w:val="00662D2C"/>
    <w:rsid w:val="0066336E"/>
    <w:rsid w:val="0066382B"/>
    <w:rsid w:val="00664040"/>
    <w:rsid w:val="00664291"/>
    <w:rsid w:val="006646D1"/>
    <w:rsid w:val="00664947"/>
    <w:rsid w:val="006664B5"/>
    <w:rsid w:val="006668F3"/>
    <w:rsid w:val="00667756"/>
    <w:rsid w:val="0067030A"/>
    <w:rsid w:val="006703B0"/>
    <w:rsid w:val="006704F1"/>
    <w:rsid w:val="00670A66"/>
    <w:rsid w:val="00670B78"/>
    <w:rsid w:val="00670EEE"/>
    <w:rsid w:val="006714FE"/>
    <w:rsid w:val="00671E7A"/>
    <w:rsid w:val="0067260B"/>
    <w:rsid w:val="0067293D"/>
    <w:rsid w:val="00672EC4"/>
    <w:rsid w:val="00672FD2"/>
    <w:rsid w:val="006737C9"/>
    <w:rsid w:val="006737DA"/>
    <w:rsid w:val="00673F26"/>
    <w:rsid w:val="006740D0"/>
    <w:rsid w:val="0067499F"/>
    <w:rsid w:val="00674AE7"/>
    <w:rsid w:val="00675365"/>
    <w:rsid w:val="00676177"/>
    <w:rsid w:val="006763BC"/>
    <w:rsid w:val="00676825"/>
    <w:rsid w:val="006768CC"/>
    <w:rsid w:val="006775F4"/>
    <w:rsid w:val="00677D7C"/>
    <w:rsid w:val="0068009C"/>
    <w:rsid w:val="006806EF"/>
    <w:rsid w:val="0068141A"/>
    <w:rsid w:val="00681EEB"/>
    <w:rsid w:val="006820EC"/>
    <w:rsid w:val="0068280A"/>
    <w:rsid w:val="00682C34"/>
    <w:rsid w:val="00683031"/>
    <w:rsid w:val="00685CF1"/>
    <w:rsid w:val="0068652B"/>
    <w:rsid w:val="00686800"/>
    <w:rsid w:val="00686B26"/>
    <w:rsid w:val="006877C9"/>
    <w:rsid w:val="00687EDE"/>
    <w:rsid w:val="00687FBE"/>
    <w:rsid w:val="00690098"/>
    <w:rsid w:val="00690216"/>
    <w:rsid w:val="006909D3"/>
    <w:rsid w:val="00690B29"/>
    <w:rsid w:val="00690FCE"/>
    <w:rsid w:val="00690FDE"/>
    <w:rsid w:val="006914F1"/>
    <w:rsid w:val="006917EE"/>
    <w:rsid w:val="00691B46"/>
    <w:rsid w:val="00691F9E"/>
    <w:rsid w:val="00692334"/>
    <w:rsid w:val="00693E25"/>
    <w:rsid w:val="0069486F"/>
    <w:rsid w:val="00694C41"/>
    <w:rsid w:val="006955B2"/>
    <w:rsid w:val="00695A47"/>
    <w:rsid w:val="00695AB9"/>
    <w:rsid w:val="00695AFA"/>
    <w:rsid w:val="006960CC"/>
    <w:rsid w:val="00696C6C"/>
    <w:rsid w:val="00697390"/>
    <w:rsid w:val="00697F43"/>
    <w:rsid w:val="006A041A"/>
    <w:rsid w:val="006A0F85"/>
    <w:rsid w:val="006A1085"/>
    <w:rsid w:val="006A1260"/>
    <w:rsid w:val="006A204A"/>
    <w:rsid w:val="006A24AA"/>
    <w:rsid w:val="006A36AB"/>
    <w:rsid w:val="006A3836"/>
    <w:rsid w:val="006A4AD2"/>
    <w:rsid w:val="006A540A"/>
    <w:rsid w:val="006A5977"/>
    <w:rsid w:val="006A5AEA"/>
    <w:rsid w:val="006A5BBE"/>
    <w:rsid w:val="006A624D"/>
    <w:rsid w:val="006A6ACB"/>
    <w:rsid w:val="006A78D0"/>
    <w:rsid w:val="006A7E3D"/>
    <w:rsid w:val="006B0234"/>
    <w:rsid w:val="006B0457"/>
    <w:rsid w:val="006B069D"/>
    <w:rsid w:val="006B1181"/>
    <w:rsid w:val="006B1A51"/>
    <w:rsid w:val="006B2980"/>
    <w:rsid w:val="006B2B96"/>
    <w:rsid w:val="006B3841"/>
    <w:rsid w:val="006B3C74"/>
    <w:rsid w:val="006B4222"/>
    <w:rsid w:val="006B6078"/>
    <w:rsid w:val="006B6086"/>
    <w:rsid w:val="006B6C90"/>
    <w:rsid w:val="006B6E52"/>
    <w:rsid w:val="006B7130"/>
    <w:rsid w:val="006B76F0"/>
    <w:rsid w:val="006B77D7"/>
    <w:rsid w:val="006B7D43"/>
    <w:rsid w:val="006C0035"/>
    <w:rsid w:val="006C04FF"/>
    <w:rsid w:val="006C05ED"/>
    <w:rsid w:val="006C082B"/>
    <w:rsid w:val="006C1363"/>
    <w:rsid w:val="006C1556"/>
    <w:rsid w:val="006C15A9"/>
    <w:rsid w:val="006C15FA"/>
    <w:rsid w:val="006C1830"/>
    <w:rsid w:val="006C186B"/>
    <w:rsid w:val="006C1AFB"/>
    <w:rsid w:val="006C1C67"/>
    <w:rsid w:val="006C1EF8"/>
    <w:rsid w:val="006C216C"/>
    <w:rsid w:val="006C2868"/>
    <w:rsid w:val="006C30FF"/>
    <w:rsid w:val="006C34B2"/>
    <w:rsid w:val="006C3C68"/>
    <w:rsid w:val="006C4031"/>
    <w:rsid w:val="006C4513"/>
    <w:rsid w:val="006C48A7"/>
    <w:rsid w:val="006C4909"/>
    <w:rsid w:val="006C4BB2"/>
    <w:rsid w:val="006C4DCF"/>
    <w:rsid w:val="006C510C"/>
    <w:rsid w:val="006C5161"/>
    <w:rsid w:val="006C5372"/>
    <w:rsid w:val="006C5AD3"/>
    <w:rsid w:val="006C5B7D"/>
    <w:rsid w:val="006C5F41"/>
    <w:rsid w:val="006C603F"/>
    <w:rsid w:val="006C64BD"/>
    <w:rsid w:val="006C668B"/>
    <w:rsid w:val="006C6D2E"/>
    <w:rsid w:val="006C6EB8"/>
    <w:rsid w:val="006C70CA"/>
    <w:rsid w:val="006C714C"/>
    <w:rsid w:val="006C7338"/>
    <w:rsid w:val="006D05FD"/>
    <w:rsid w:val="006D066C"/>
    <w:rsid w:val="006D1168"/>
    <w:rsid w:val="006D11B2"/>
    <w:rsid w:val="006D1225"/>
    <w:rsid w:val="006D15EA"/>
    <w:rsid w:val="006D1B36"/>
    <w:rsid w:val="006D22CD"/>
    <w:rsid w:val="006D23E5"/>
    <w:rsid w:val="006D281A"/>
    <w:rsid w:val="006D2C0C"/>
    <w:rsid w:val="006D3045"/>
    <w:rsid w:val="006D42CF"/>
    <w:rsid w:val="006D478D"/>
    <w:rsid w:val="006D55B5"/>
    <w:rsid w:val="006D5DDC"/>
    <w:rsid w:val="006D6236"/>
    <w:rsid w:val="006D62B0"/>
    <w:rsid w:val="006D644F"/>
    <w:rsid w:val="006D6569"/>
    <w:rsid w:val="006D6683"/>
    <w:rsid w:val="006D67AC"/>
    <w:rsid w:val="006D767C"/>
    <w:rsid w:val="006D798B"/>
    <w:rsid w:val="006D79A6"/>
    <w:rsid w:val="006D7EFC"/>
    <w:rsid w:val="006E01D0"/>
    <w:rsid w:val="006E0695"/>
    <w:rsid w:val="006E091D"/>
    <w:rsid w:val="006E0C01"/>
    <w:rsid w:val="006E1376"/>
    <w:rsid w:val="006E16EB"/>
    <w:rsid w:val="006E1BB6"/>
    <w:rsid w:val="006E3549"/>
    <w:rsid w:val="006E3874"/>
    <w:rsid w:val="006E3AFE"/>
    <w:rsid w:val="006E3EF0"/>
    <w:rsid w:val="006E3F5D"/>
    <w:rsid w:val="006E4FE4"/>
    <w:rsid w:val="006E512B"/>
    <w:rsid w:val="006E5311"/>
    <w:rsid w:val="006E5415"/>
    <w:rsid w:val="006E56D5"/>
    <w:rsid w:val="006E5799"/>
    <w:rsid w:val="006E5870"/>
    <w:rsid w:val="006E5E26"/>
    <w:rsid w:val="006E6213"/>
    <w:rsid w:val="006E6AC1"/>
    <w:rsid w:val="006E6EDB"/>
    <w:rsid w:val="006E6F3E"/>
    <w:rsid w:val="006F0022"/>
    <w:rsid w:val="006F02D3"/>
    <w:rsid w:val="006F0A15"/>
    <w:rsid w:val="006F0BB9"/>
    <w:rsid w:val="006F0DA0"/>
    <w:rsid w:val="006F2D61"/>
    <w:rsid w:val="006F316C"/>
    <w:rsid w:val="006F37F7"/>
    <w:rsid w:val="006F37F9"/>
    <w:rsid w:val="006F3CBE"/>
    <w:rsid w:val="006F43CB"/>
    <w:rsid w:val="006F44D6"/>
    <w:rsid w:val="006F5734"/>
    <w:rsid w:val="006F652B"/>
    <w:rsid w:val="006F698D"/>
    <w:rsid w:val="006F6CAB"/>
    <w:rsid w:val="006F6CAE"/>
    <w:rsid w:val="006F6DB0"/>
    <w:rsid w:val="006F7041"/>
    <w:rsid w:val="006F75F0"/>
    <w:rsid w:val="006F7B85"/>
    <w:rsid w:val="007002DF"/>
    <w:rsid w:val="0070043E"/>
    <w:rsid w:val="007007CA"/>
    <w:rsid w:val="00701103"/>
    <w:rsid w:val="007011DA"/>
    <w:rsid w:val="00701394"/>
    <w:rsid w:val="00701A70"/>
    <w:rsid w:val="00701F9E"/>
    <w:rsid w:val="007027D8"/>
    <w:rsid w:val="00702FA5"/>
    <w:rsid w:val="00703545"/>
    <w:rsid w:val="00703711"/>
    <w:rsid w:val="00703851"/>
    <w:rsid w:val="00703E28"/>
    <w:rsid w:val="00703FC9"/>
    <w:rsid w:val="007041FA"/>
    <w:rsid w:val="00704599"/>
    <w:rsid w:val="007058E5"/>
    <w:rsid w:val="00705B97"/>
    <w:rsid w:val="007061DD"/>
    <w:rsid w:val="007062A2"/>
    <w:rsid w:val="00706AF8"/>
    <w:rsid w:val="007078CA"/>
    <w:rsid w:val="00710267"/>
    <w:rsid w:val="00710CF9"/>
    <w:rsid w:val="00712D7B"/>
    <w:rsid w:val="00713668"/>
    <w:rsid w:val="00713EC7"/>
    <w:rsid w:val="007140B9"/>
    <w:rsid w:val="0071565A"/>
    <w:rsid w:val="00716724"/>
    <w:rsid w:val="00716F9A"/>
    <w:rsid w:val="007171EC"/>
    <w:rsid w:val="00717A84"/>
    <w:rsid w:val="00720C78"/>
    <w:rsid w:val="00722AD2"/>
    <w:rsid w:val="00723E68"/>
    <w:rsid w:val="00723F2C"/>
    <w:rsid w:val="007241DD"/>
    <w:rsid w:val="007243AF"/>
    <w:rsid w:val="00724821"/>
    <w:rsid w:val="00724CEA"/>
    <w:rsid w:val="00724EC8"/>
    <w:rsid w:val="0072513D"/>
    <w:rsid w:val="007255A6"/>
    <w:rsid w:val="0072607F"/>
    <w:rsid w:val="00726419"/>
    <w:rsid w:val="007307E5"/>
    <w:rsid w:val="00731501"/>
    <w:rsid w:val="00731BB4"/>
    <w:rsid w:val="007324D0"/>
    <w:rsid w:val="00732B61"/>
    <w:rsid w:val="0073331D"/>
    <w:rsid w:val="007337B9"/>
    <w:rsid w:val="00733899"/>
    <w:rsid w:val="00733F5A"/>
    <w:rsid w:val="0073560D"/>
    <w:rsid w:val="0073593B"/>
    <w:rsid w:val="00735AA1"/>
    <w:rsid w:val="00735B54"/>
    <w:rsid w:val="00735FA4"/>
    <w:rsid w:val="00736557"/>
    <w:rsid w:val="007368B9"/>
    <w:rsid w:val="00736E82"/>
    <w:rsid w:val="007376D7"/>
    <w:rsid w:val="00737E30"/>
    <w:rsid w:val="0074096D"/>
    <w:rsid w:val="00740B35"/>
    <w:rsid w:val="00741410"/>
    <w:rsid w:val="00742646"/>
    <w:rsid w:val="0074310D"/>
    <w:rsid w:val="007434AB"/>
    <w:rsid w:val="00743545"/>
    <w:rsid w:val="00743F84"/>
    <w:rsid w:val="00743FC9"/>
    <w:rsid w:val="00744973"/>
    <w:rsid w:val="007460A2"/>
    <w:rsid w:val="00746230"/>
    <w:rsid w:val="007462E1"/>
    <w:rsid w:val="007469C1"/>
    <w:rsid w:val="00746DA0"/>
    <w:rsid w:val="00747C41"/>
    <w:rsid w:val="00750139"/>
    <w:rsid w:val="00750B91"/>
    <w:rsid w:val="00751E82"/>
    <w:rsid w:val="007527F9"/>
    <w:rsid w:val="00752DAF"/>
    <w:rsid w:val="0075332D"/>
    <w:rsid w:val="0075371B"/>
    <w:rsid w:val="00753EBD"/>
    <w:rsid w:val="00753EF6"/>
    <w:rsid w:val="00754289"/>
    <w:rsid w:val="00754AE6"/>
    <w:rsid w:val="00754EE8"/>
    <w:rsid w:val="0075598C"/>
    <w:rsid w:val="00755BBC"/>
    <w:rsid w:val="007567B8"/>
    <w:rsid w:val="00756848"/>
    <w:rsid w:val="00756BF0"/>
    <w:rsid w:val="00760772"/>
    <w:rsid w:val="007608DE"/>
    <w:rsid w:val="007614D1"/>
    <w:rsid w:val="007618EE"/>
    <w:rsid w:val="007619D4"/>
    <w:rsid w:val="00761A4D"/>
    <w:rsid w:val="00761FB3"/>
    <w:rsid w:val="00762742"/>
    <w:rsid w:val="007629B3"/>
    <w:rsid w:val="00762F85"/>
    <w:rsid w:val="0076368F"/>
    <w:rsid w:val="00763BF3"/>
    <w:rsid w:val="00763D2C"/>
    <w:rsid w:val="00764AE3"/>
    <w:rsid w:val="00765A53"/>
    <w:rsid w:val="00765C50"/>
    <w:rsid w:val="00766164"/>
    <w:rsid w:val="00767227"/>
    <w:rsid w:val="00770B68"/>
    <w:rsid w:val="00770D38"/>
    <w:rsid w:val="00771331"/>
    <w:rsid w:val="00771F47"/>
    <w:rsid w:val="007729DB"/>
    <w:rsid w:val="00772A40"/>
    <w:rsid w:val="00774002"/>
    <w:rsid w:val="00774060"/>
    <w:rsid w:val="007740A4"/>
    <w:rsid w:val="007741D3"/>
    <w:rsid w:val="007744D4"/>
    <w:rsid w:val="00774568"/>
    <w:rsid w:val="00774B9C"/>
    <w:rsid w:val="00774EE6"/>
    <w:rsid w:val="00775AC4"/>
    <w:rsid w:val="00775C25"/>
    <w:rsid w:val="00775C8A"/>
    <w:rsid w:val="007761DA"/>
    <w:rsid w:val="00776A7C"/>
    <w:rsid w:val="00776EC9"/>
    <w:rsid w:val="00777C91"/>
    <w:rsid w:val="00777D68"/>
    <w:rsid w:val="007806D4"/>
    <w:rsid w:val="00780B0C"/>
    <w:rsid w:val="00781044"/>
    <w:rsid w:val="007816E0"/>
    <w:rsid w:val="0078206D"/>
    <w:rsid w:val="007820F7"/>
    <w:rsid w:val="00782427"/>
    <w:rsid w:val="007831B3"/>
    <w:rsid w:val="00783439"/>
    <w:rsid w:val="007834A5"/>
    <w:rsid w:val="00783ECD"/>
    <w:rsid w:val="00785079"/>
    <w:rsid w:val="00785286"/>
    <w:rsid w:val="007854E6"/>
    <w:rsid w:val="00785A78"/>
    <w:rsid w:val="00785F32"/>
    <w:rsid w:val="00787FA0"/>
    <w:rsid w:val="0079057A"/>
    <w:rsid w:val="00790B51"/>
    <w:rsid w:val="00790C47"/>
    <w:rsid w:val="00791117"/>
    <w:rsid w:val="0079130D"/>
    <w:rsid w:val="00791522"/>
    <w:rsid w:val="00792207"/>
    <w:rsid w:val="00792329"/>
    <w:rsid w:val="00792864"/>
    <w:rsid w:val="007929C0"/>
    <w:rsid w:val="007937DF"/>
    <w:rsid w:val="0079454A"/>
    <w:rsid w:val="00795431"/>
    <w:rsid w:val="0079579E"/>
    <w:rsid w:val="00795EF8"/>
    <w:rsid w:val="00796491"/>
    <w:rsid w:val="00797102"/>
    <w:rsid w:val="00797702"/>
    <w:rsid w:val="007A08BD"/>
    <w:rsid w:val="007A1AB4"/>
    <w:rsid w:val="007A2139"/>
    <w:rsid w:val="007A34F3"/>
    <w:rsid w:val="007A3E23"/>
    <w:rsid w:val="007A3ECF"/>
    <w:rsid w:val="007A4A36"/>
    <w:rsid w:val="007A5264"/>
    <w:rsid w:val="007A5B83"/>
    <w:rsid w:val="007A5C96"/>
    <w:rsid w:val="007A637A"/>
    <w:rsid w:val="007A677A"/>
    <w:rsid w:val="007A6934"/>
    <w:rsid w:val="007A6E8B"/>
    <w:rsid w:val="007A70ED"/>
    <w:rsid w:val="007A75A6"/>
    <w:rsid w:val="007A7FDF"/>
    <w:rsid w:val="007B0251"/>
    <w:rsid w:val="007B0F94"/>
    <w:rsid w:val="007B1AE6"/>
    <w:rsid w:val="007B1F46"/>
    <w:rsid w:val="007B2D12"/>
    <w:rsid w:val="007B2DDE"/>
    <w:rsid w:val="007B3069"/>
    <w:rsid w:val="007B31E8"/>
    <w:rsid w:val="007B3E1C"/>
    <w:rsid w:val="007B530B"/>
    <w:rsid w:val="007B5A7D"/>
    <w:rsid w:val="007B6376"/>
    <w:rsid w:val="007B64B2"/>
    <w:rsid w:val="007B66D9"/>
    <w:rsid w:val="007B7A09"/>
    <w:rsid w:val="007B7DFF"/>
    <w:rsid w:val="007B7E9C"/>
    <w:rsid w:val="007C0126"/>
    <w:rsid w:val="007C01B0"/>
    <w:rsid w:val="007C02C7"/>
    <w:rsid w:val="007C0ADB"/>
    <w:rsid w:val="007C0C4F"/>
    <w:rsid w:val="007C1E0F"/>
    <w:rsid w:val="007C2073"/>
    <w:rsid w:val="007C29C5"/>
    <w:rsid w:val="007C3E68"/>
    <w:rsid w:val="007C4321"/>
    <w:rsid w:val="007C48DB"/>
    <w:rsid w:val="007C57BD"/>
    <w:rsid w:val="007C6AE0"/>
    <w:rsid w:val="007C6D5B"/>
    <w:rsid w:val="007C7C34"/>
    <w:rsid w:val="007D0378"/>
    <w:rsid w:val="007D0CEE"/>
    <w:rsid w:val="007D1616"/>
    <w:rsid w:val="007D18F0"/>
    <w:rsid w:val="007D1F0C"/>
    <w:rsid w:val="007D27F0"/>
    <w:rsid w:val="007D2E4B"/>
    <w:rsid w:val="007D3A99"/>
    <w:rsid w:val="007D3B51"/>
    <w:rsid w:val="007D42E8"/>
    <w:rsid w:val="007D53B3"/>
    <w:rsid w:val="007D5B3C"/>
    <w:rsid w:val="007D5E3C"/>
    <w:rsid w:val="007D61C5"/>
    <w:rsid w:val="007D65B8"/>
    <w:rsid w:val="007D7B70"/>
    <w:rsid w:val="007D7EE5"/>
    <w:rsid w:val="007E13B0"/>
    <w:rsid w:val="007E15D1"/>
    <w:rsid w:val="007E1D16"/>
    <w:rsid w:val="007E23F0"/>
    <w:rsid w:val="007E34C8"/>
    <w:rsid w:val="007E3584"/>
    <w:rsid w:val="007E485A"/>
    <w:rsid w:val="007E5B14"/>
    <w:rsid w:val="007E5FCE"/>
    <w:rsid w:val="007E61F7"/>
    <w:rsid w:val="007E62C8"/>
    <w:rsid w:val="007E71AF"/>
    <w:rsid w:val="007E7704"/>
    <w:rsid w:val="007E7813"/>
    <w:rsid w:val="007E7C20"/>
    <w:rsid w:val="007E7EA1"/>
    <w:rsid w:val="007F0DBF"/>
    <w:rsid w:val="007F1A95"/>
    <w:rsid w:val="007F28F9"/>
    <w:rsid w:val="007F31FC"/>
    <w:rsid w:val="007F370D"/>
    <w:rsid w:val="007F3EB9"/>
    <w:rsid w:val="007F4084"/>
    <w:rsid w:val="007F4831"/>
    <w:rsid w:val="007F4A0B"/>
    <w:rsid w:val="007F4D52"/>
    <w:rsid w:val="007F4DE3"/>
    <w:rsid w:val="007F4E2A"/>
    <w:rsid w:val="007F6D0A"/>
    <w:rsid w:val="007F6D81"/>
    <w:rsid w:val="007F7B65"/>
    <w:rsid w:val="007F7D6D"/>
    <w:rsid w:val="0080016C"/>
    <w:rsid w:val="008001B0"/>
    <w:rsid w:val="00800E2D"/>
    <w:rsid w:val="008013A0"/>
    <w:rsid w:val="008015BF"/>
    <w:rsid w:val="00803D98"/>
    <w:rsid w:val="008044C5"/>
    <w:rsid w:val="00804C08"/>
    <w:rsid w:val="00805C01"/>
    <w:rsid w:val="00805C91"/>
    <w:rsid w:val="008061C1"/>
    <w:rsid w:val="00806397"/>
    <w:rsid w:val="00806846"/>
    <w:rsid w:val="00806FEA"/>
    <w:rsid w:val="0080724A"/>
    <w:rsid w:val="00807FAB"/>
    <w:rsid w:val="00810257"/>
    <w:rsid w:val="008103C9"/>
    <w:rsid w:val="008108EC"/>
    <w:rsid w:val="00810D88"/>
    <w:rsid w:val="00811023"/>
    <w:rsid w:val="0081116B"/>
    <w:rsid w:val="00811E0A"/>
    <w:rsid w:val="00811E72"/>
    <w:rsid w:val="0081210C"/>
    <w:rsid w:val="0081232B"/>
    <w:rsid w:val="008143E1"/>
    <w:rsid w:val="008169EF"/>
    <w:rsid w:val="00816D7F"/>
    <w:rsid w:val="00817153"/>
    <w:rsid w:val="00817864"/>
    <w:rsid w:val="00817BC6"/>
    <w:rsid w:val="00820031"/>
    <w:rsid w:val="0082091E"/>
    <w:rsid w:val="00821540"/>
    <w:rsid w:val="008222A7"/>
    <w:rsid w:val="0082250A"/>
    <w:rsid w:val="00822B6A"/>
    <w:rsid w:val="00822D43"/>
    <w:rsid w:val="00822F66"/>
    <w:rsid w:val="00823BF5"/>
    <w:rsid w:val="0082438B"/>
    <w:rsid w:val="00824C2D"/>
    <w:rsid w:val="00825038"/>
    <w:rsid w:val="00825622"/>
    <w:rsid w:val="0082591B"/>
    <w:rsid w:val="00826041"/>
    <w:rsid w:val="00826CED"/>
    <w:rsid w:val="00827748"/>
    <w:rsid w:val="00827983"/>
    <w:rsid w:val="00827D50"/>
    <w:rsid w:val="00827F1D"/>
    <w:rsid w:val="00830C16"/>
    <w:rsid w:val="008316D7"/>
    <w:rsid w:val="008317C0"/>
    <w:rsid w:val="008319BB"/>
    <w:rsid w:val="00831BB4"/>
    <w:rsid w:val="008324AF"/>
    <w:rsid w:val="00832D72"/>
    <w:rsid w:val="008330B7"/>
    <w:rsid w:val="0083340D"/>
    <w:rsid w:val="00833D4A"/>
    <w:rsid w:val="008341C6"/>
    <w:rsid w:val="00834666"/>
    <w:rsid w:val="008347AA"/>
    <w:rsid w:val="00834A20"/>
    <w:rsid w:val="00835F96"/>
    <w:rsid w:val="0083601D"/>
    <w:rsid w:val="008366B2"/>
    <w:rsid w:val="0083672C"/>
    <w:rsid w:val="008400F7"/>
    <w:rsid w:val="0084023D"/>
    <w:rsid w:val="00840296"/>
    <w:rsid w:val="0084043B"/>
    <w:rsid w:val="00840ABD"/>
    <w:rsid w:val="008415D1"/>
    <w:rsid w:val="008417DB"/>
    <w:rsid w:val="0084236B"/>
    <w:rsid w:val="00842974"/>
    <w:rsid w:val="00842AFE"/>
    <w:rsid w:val="00843155"/>
    <w:rsid w:val="00843244"/>
    <w:rsid w:val="00844A95"/>
    <w:rsid w:val="00844CB0"/>
    <w:rsid w:val="008460DB"/>
    <w:rsid w:val="00847008"/>
    <w:rsid w:val="008471BC"/>
    <w:rsid w:val="008475E2"/>
    <w:rsid w:val="00847EE5"/>
    <w:rsid w:val="008505BC"/>
    <w:rsid w:val="00850771"/>
    <w:rsid w:val="00850FDC"/>
    <w:rsid w:val="00852668"/>
    <w:rsid w:val="00852B32"/>
    <w:rsid w:val="00853427"/>
    <w:rsid w:val="00853449"/>
    <w:rsid w:val="008543A3"/>
    <w:rsid w:val="00854519"/>
    <w:rsid w:val="00854BC7"/>
    <w:rsid w:val="0085625B"/>
    <w:rsid w:val="00856526"/>
    <w:rsid w:val="008566BC"/>
    <w:rsid w:val="00856F2A"/>
    <w:rsid w:val="0085735A"/>
    <w:rsid w:val="00857A4D"/>
    <w:rsid w:val="00857D3C"/>
    <w:rsid w:val="00857D42"/>
    <w:rsid w:val="008605AE"/>
    <w:rsid w:val="00860BBC"/>
    <w:rsid w:val="0086121A"/>
    <w:rsid w:val="00861627"/>
    <w:rsid w:val="00861776"/>
    <w:rsid w:val="00862909"/>
    <w:rsid w:val="00863348"/>
    <w:rsid w:val="008640E4"/>
    <w:rsid w:val="00864266"/>
    <w:rsid w:val="00864711"/>
    <w:rsid w:val="00864F89"/>
    <w:rsid w:val="008656AE"/>
    <w:rsid w:val="00865AAE"/>
    <w:rsid w:val="00866263"/>
    <w:rsid w:val="00866CD4"/>
    <w:rsid w:val="0086747B"/>
    <w:rsid w:val="00867921"/>
    <w:rsid w:val="00867B2E"/>
    <w:rsid w:val="00867DBA"/>
    <w:rsid w:val="008700C1"/>
    <w:rsid w:val="00870BFA"/>
    <w:rsid w:val="008710B1"/>
    <w:rsid w:val="00871C23"/>
    <w:rsid w:val="00872104"/>
    <w:rsid w:val="008726BC"/>
    <w:rsid w:val="0087324A"/>
    <w:rsid w:val="0087330C"/>
    <w:rsid w:val="008744C8"/>
    <w:rsid w:val="008748A1"/>
    <w:rsid w:val="00874990"/>
    <w:rsid w:val="00874E92"/>
    <w:rsid w:val="008763E2"/>
    <w:rsid w:val="00876995"/>
    <w:rsid w:val="0088126A"/>
    <w:rsid w:val="00881303"/>
    <w:rsid w:val="008816F7"/>
    <w:rsid w:val="0088176F"/>
    <w:rsid w:val="00882EB2"/>
    <w:rsid w:val="00883836"/>
    <w:rsid w:val="00883B43"/>
    <w:rsid w:val="00884036"/>
    <w:rsid w:val="008841C3"/>
    <w:rsid w:val="00884647"/>
    <w:rsid w:val="0088469B"/>
    <w:rsid w:val="00884C93"/>
    <w:rsid w:val="00884D25"/>
    <w:rsid w:val="0088533A"/>
    <w:rsid w:val="008854BF"/>
    <w:rsid w:val="0088577E"/>
    <w:rsid w:val="00886272"/>
    <w:rsid w:val="0088677E"/>
    <w:rsid w:val="008870A0"/>
    <w:rsid w:val="00887CF3"/>
    <w:rsid w:val="00887E6D"/>
    <w:rsid w:val="00887FDC"/>
    <w:rsid w:val="008902BB"/>
    <w:rsid w:val="00890DA7"/>
    <w:rsid w:val="00890EE2"/>
    <w:rsid w:val="00891950"/>
    <w:rsid w:val="00891970"/>
    <w:rsid w:val="00891A0E"/>
    <w:rsid w:val="008920FC"/>
    <w:rsid w:val="00893DEF"/>
    <w:rsid w:val="00894013"/>
    <w:rsid w:val="0089451E"/>
    <w:rsid w:val="008945A2"/>
    <w:rsid w:val="008949B9"/>
    <w:rsid w:val="00894FA2"/>
    <w:rsid w:val="008956A4"/>
    <w:rsid w:val="00895D94"/>
    <w:rsid w:val="00895F81"/>
    <w:rsid w:val="00896061"/>
    <w:rsid w:val="008960D0"/>
    <w:rsid w:val="00896223"/>
    <w:rsid w:val="00896984"/>
    <w:rsid w:val="00897093"/>
    <w:rsid w:val="008972EE"/>
    <w:rsid w:val="0089756B"/>
    <w:rsid w:val="008A0647"/>
    <w:rsid w:val="008A1447"/>
    <w:rsid w:val="008A2425"/>
    <w:rsid w:val="008A2768"/>
    <w:rsid w:val="008A4A78"/>
    <w:rsid w:val="008A4FFB"/>
    <w:rsid w:val="008A514F"/>
    <w:rsid w:val="008A608E"/>
    <w:rsid w:val="008A63D7"/>
    <w:rsid w:val="008A677C"/>
    <w:rsid w:val="008A681A"/>
    <w:rsid w:val="008A6ED9"/>
    <w:rsid w:val="008A744E"/>
    <w:rsid w:val="008A774B"/>
    <w:rsid w:val="008A78E3"/>
    <w:rsid w:val="008B0604"/>
    <w:rsid w:val="008B12CB"/>
    <w:rsid w:val="008B1AEE"/>
    <w:rsid w:val="008B2084"/>
    <w:rsid w:val="008B2288"/>
    <w:rsid w:val="008B2292"/>
    <w:rsid w:val="008B27D9"/>
    <w:rsid w:val="008B339D"/>
    <w:rsid w:val="008B3651"/>
    <w:rsid w:val="008B3A14"/>
    <w:rsid w:val="008B3A77"/>
    <w:rsid w:val="008B3AC4"/>
    <w:rsid w:val="008B4C16"/>
    <w:rsid w:val="008B4C54"/>
    <w:rsid w:val="008B52E0"/>
    <w:rsid w:val="008B52FC"/>
    <w:rsid w:val="008B63AC"/>
    <w:rsid w:val="008B6DB5"/>
    <w:rsid w:val="008B76AE"/>
    <w:rsid w:val="008B7ADA"/>
    <w:rsid w:val="008B7B93"/>
    <w:rsid w:val="008B7CB0"/>
    <w:rsid w:val="008B7EF6"/>
    <w:rsid w:val="008C03BE"/>
    <w:rsid w:val="008C08ED"/>
    <w:rsid w:val="008C0A1D"/>
    <w:rsid w:val="008C1CB7"/>
    <w:rsid w:val="008C240C"/>
    <w:rsid w:val="008C2AFE"/>
    <w:rsid w:val="008C37B7"/>
    <w:rsid w:val="008C3FA7"/>
    <w:rsid w:val="008C4025"/>
    <w:rsid w:val="008C56C1"/>
    <w:rsid w:val="008C5D4C"/>
    <w:rsid w:val="008C5E0C"/>
    <w:rsid w:val="008C615B"/>
    <w:rsid w:val="008C6C85"/>
    <w:rsid w:val="008C6E5D"/>
    <w:rsid w:val="008C7665"/>
    <w:rsid w:val="008C796F"/>
    <w:rsid w:val="008D153A"/>
    <w:rsid w:val="008D166B"/>
    <w:rsid w:val="008D19BC"/>
    <w:rsid w:val="008D26FE"/>
    <w:rsid w:val="008D2738"/>
    <w:rsid w:val="008D2912"/>
    <w:rsid w:val="008D2C5E"/>
    <w:rsid w:val="008D3AF3"/>
    <w:rsid w:val="008D5C86"/>
    <w:rsid w:val="008D6A97"/>
    <w:rsid w:val="008D6D8E"/>
    <w:rsid w:val="008E036C"/>
    <w:rsid w:val="008E0BED"/>
    <w:rsid w:val="008E151F"/>
    <w:rsid w:val="008E190C"/>
    <w:rsid w:val="008E1A77"/>
    <w:rsid w:val="008E1AC8"/>
    <w:rsid w:val="008E22FE"/>
    <w:rsid w:val="008E2EDD"/>
    <w:rsid w:val="008E303C"/>
    <w:rsid w:val="008E3F7B"/>
    <w:rsid w:val="008E5AD0"/>
    <w:rsid w:val="008E5BFF"/>
    <w:rsid w:val="008E6591"/>
    <w:rsid w:val="008E7579"/>
    <w:rsid w:val="008E75F9"/>
    <w:rsid w:val="008F041D"/>
    <w:rsid w:val="008F0921"/>
    <w:rsid w:val="008F0C3C"/>
    <w:rsid w:val="008F0D5F"/>
    <w:rsid w:val="008F1A0E"/>
    <w:rsid w:val="008F1BC2"/>
    <w:rsid w:val="008F233E"/>
    <w:rsid w:val="008F2536"/>
    <w:rsid w:val="008F2982"/>
    <w:rsid w:val="008F2A74"/>
    <w:rsid w:val="008F3EEF"/>
    <w:rsid w:val="008F47C5"/>
    <w:rsid w:val="008F47CA"/>
    <w:rsid w:val="008F4BF7"/>
    <w:rsid w:val="008F5327"/>
    <w:rsid w:val="008F5EC8"/>
    <w:rsid w:val="008F7C9B"/>
    <w:rsid w:val="00900459"/>
    <w:rsid w:val="009015BC"/>
    <w:rsid w:val="00901969"/>
    <w:rsid w:val="009020F3"/>
    <w:rsid w:val="009024F5"/>
    <w:rsid w:val="00902DDB"/>
    <w:rsid w:val="009032B7"/>
    <w:rsid w:val="009032C5"/>
    <w:rsid w:val="0090339D"/>
    <w:rsid w:val="00904928"/>
    <w:rsid w:val="0090542D"/>
    <w:rsid w:val="009057F3"/>
    <w:rsid w:val="00905FAE"/>
    <w:rsid w:val="009065E4"/>
    <w:rsid w:val="00907419"/>
    <w:rsid w:val="009104AF"/>
    <w:rsid w:val="00910C09"/>
    <w:rsid w:val="009115B1"/>
    <w:rsid w:val="009118A0"/>
    <w:rsid w:val="009127F0"/>
    <w:rsid w:val="00912E70"/>
    <w:rsid w:val="00913229"/>
    <w:rsid w:val="009136CE"/>
    <w:rsid w:val="00913756"/>
    <w:rsid w:val="00913AF1"/>
    <w:rsid w:val="00913FBC"/>
    <w:rsid w:val="00915825"/>
    <w:rsid w:val="00915D51"/>
    <w:rsid w:val="00915EF5"/>
    <w:rsid w:val="009165AB"/>
    <w:rsid w:val="00916EBE"/>
    <w:rsid w:val="00917300"/>
    <w:rsid w:val="009175FD"/>
    <w:rsid w:val="00917986"/>
    <w:rsid w:val="00920156"/>
    <w:rsid w:val="009201A6"/>
    <w:rsid w:val="00920387"/>
    <w:rsid w:val="00920FE5"/>
    <w:rsid w:val="0092213C"/>
    <w:rsid w:val="00922798"/>
    <w:rsid w:val="009231FD"/>
    <w:rsid w:val="00923276"/>
    <w:rsid w:val="00924BD2"/>
    <w:rsid w:val="00924DE9"/>
    <w:rsid w:val="00925057"/>
    <w:rsid w:val="009254DA"/>
    <w:rsid w:val="00925F11"/>
    <w:rsid w:val="00926352"/>
    <w:rsid w:val="009263C6"/>
    <w:rsid w:val="009265B6"/>
    <w:rsid w:val="009268CF"/>
    <w:rsid w:val="00926FA6"/>
    <w:rsid w:val="00927087"/>
    <w:rsid w:val="009273F3"/>
    <w:rsid w:val="00927B6A"/>
    <w:rsid w:val="0093085A"/>
    <w:rsid w:val="00931278"/>
    <w:rsid w:val="0093152B"/>
    <w:rsid w:val="009324A3"/>
    <w:rsid w:val="009337BB"/>
    <w:rsid w:val="00933906"/>
    <w:rsid w:val="00933C90"/>
    <w:rsid w:val="0093486F"/>
    <w:rsid w:val="00935356"/>
    <w:rsid w:val="00935871"/>
    <w:rsid w:val="009359AD"/>
    <w:rsid w:val="00935AEA"/>
    <w:rsid w:val="00935F18"/>
    <w:rsid w:val="00936188"/>
    <w:rsid w:val="00936C1E"/>
    <w:rsid w:val="00937020"/>
    <w:rsid w:val="009373B4"/>
    <w:rsid w:val="00937E84"/>
    <w:rsid w:val="00940350"/>
    <w:rsid w:val="00941F42"/>
    <w:rsid w:val="0094260D"/>
    <w:rsid w:val="00943EA9"/>
    <w:rsid w:val="00944F32"/>
    <w:rsid w:val="009467CE"/>
    <w:rsid w:val="00947040"/>
    <w:rsid w:val="00947B72"/>
    <w:rsid w:val="00947BAB"/>
    <w:rsid w:val="0095042C"/>
    <w:rsid w:val="009513E5"/>
    <w:rsid w:val="009515F7"/>
    <w:rsid w:val="00951D1F"/>
    <w:rsid w:val="00952534"/>
    <w:rsid w:val="009528AE"/>
    <w:rsid w:val="00952D89"/>
    <w:rsid w:val="009531E0"/>
    <w:rsid w:val="009538E9"/>
    <w:rsid w:val="00953D1D"/>
    <w:rsid w:val="00954051"/>
    <w:rsid w:val="00954092"/>
    <w:rsid w:val="00954357"/>
    <w:rsid w:val="00954434"/>
    <w:rsid w:val="009544D2"/>
    <w:rsid w:val="0095476E"/>
    <w:rsid w:val="0095569B"/>
    <w:rsid w:val="00955D27"/>
    <w:rsid w:val="0095626B"/>
    <w:rsid w:val="00956AAC"/>
    <w:rsid w:val="00956B09"/>
    <w:rsid w:val="00957101"/>
    <w:rsid w:val="0095769E"/>
    <w:rsid w:val="0095771C"/>
    <w:rsid w:val="00957A45"/>
    <w:rsid w:val="00957E0B"/>
    <w:rsid w:val="00960E75"/>
    <w:rsid w:val="00961425"/>
    <w:rsid w:val="0096173D"/>
    <w:rsid w:val="0096174C"/>
    <w:rsid w:val="009623EA"/>
    <w:rsid w:val="009637B9"/>
    <w:rsid w:val="00963D9D"/>
    <w:rsid w:val="0096408B"/>
    <w:rsid w:val="009653BA"/>
    <w:rsid w:val="009654F5"/>
    <w:rsid w:val="0096574C"/>
    <w:rsid w:val="00965A59"/>
    <w:rsid w:val="00966652"/>
    <w:rsid w:val="00966B40"/>
    <w:rsid w:val="00966C49"/>
    <w:rsid w:val="009676ED"/>
    <w:rsid w:val="00967B52"/>
    <w:rsid w:val="00967BEA"/>
    <w:rsid w:val="00967F89"/>
    <w:rsid w:val="00971554"/>
    <w:rsid w:val="00972083"/>
    <w:rsid w:val="0097381A"/>
    <w:rsid w:val="00973841"/>
    <w:rsid w:val="00973A47"/>
    <w:rsid w:val="00973E37"/>
    <w:rsid w:val="0097551A"/>
    <w:rsid w:val="00976E5F"/>
    <w:rsid w:val="009773E5"/>
    <w:rsid w:val="009777C6"/>
    <w:rsid w:val="00977D72"/>
    <w:rsid w:val="0098038B"/>
    <w:rsid w:val="0098065A"/>
    <w:rsid w:val="00980A70"/>
    <w:rsid w:val="0098116F"/>
    <w:rsid w:val="009813EB"/>
    <w:rsid w:val="009839C1"/>
    <w:rsid w:val="00984E27"/>
    <w:rsid w:val="00985A63"/>
    <w:rsid w:val="00985F92"/>
    <w:rsid w:val="00985FBC"/>
    <w:rsid w:val="0098683F"/>
    <w:rsid w:val="00986A06"/>
    <w:rsid w:val="00987A56"/>
    <w:rsid w:val="0099063B"/>
    <w:rsid w:val="009908E2"/>
    <w:rsid w:val="00990B78"/>
    <w:rsid w:val="0099302B"/>
    <w:rsid w:val="00993D74"/>
    <w:rsid w:val="00993DBF"/>
    <w:rsid w:val="00994AD6"/>
    <w:rsid w:val="00994DB8"/>
    <w:rsid w:val="00994E86"/>
    <w:rsid w:val="00994EDE"/>
    <w:rsid w:val="00995309"/>
    <w:rsid w:val="0099530E"/>
    <w:rsid w:val="00995BCF"/>
    <w:rsid w:val="009966EA"/>
    <w:rsid w:val="009968DC"/>
    <w:rsid w:val="00997111"/>
    <w:rsid w:val="00997449"/>
    <w:rsid w:val="00997590"/>
    <w:rsid w:val="00997795"/>
    <w:rsid w:val="009977EB"/>
    <w:rsid w:val="00997D5D"/>
    <w:rsid w:val="00997FB3"/>
    <w:rsid w:val="009A04D0"/>
    <w:rsid w:val="009A064B"/>
    <w:rsid w:val="009A084E"/>
    <w:rsid w:val="009A18EE"/>
    <w:rsid w:val="009A19CA"/>
    <w:rsid w:val="009A263E"/>
    <w:rsid w:val="009A266C"/>
    <w:rsid w:val="009A2C56"/>
    <w:rsid w:val="009A3BB0"/>
    <w:rsid w:val="009A3DDA"/>
    <w:rsid w:val="009A4465"/>
    <w:rsid w:val="009A456B"/>
    <w:rsid w:val="009A457D"/>
    <w:rsid w:val="009A487D"/>
    <w:rsid w:val="009A4AA8"/>
    <w:rsid w:val="009A5847"/>
    <w:rsid w:val="009A61D1"/>
    <w:rsid w:val="009A65F9"/>
    <w:rsid w:val="009A69B9"/>
    <w:rsid w:val="009A6A1B"/>
    <w:rsid w:val="009A6D84"/>
    <w:rsid w:val="009A76CB"/>
    <w:rsid w:val="009B0319"/>
    <w:rsid w:val="009B0D6A"/>
    <w:rsid w:val="009B1961"/>
    <w:rsid w:val="009B3134"/>
    <w:rsid w:val="009B3946"/>
    <w:rsid w:val="009B3999"/>
    <w:rsid w:val="009B517F"/>
    <w:rsid w:val="009B5DFC"/>
    <w:rsid w:val="009B63BC"/>
    <w:rsid w:val="009B6A13"/>
    <w:rsid w:val="009B7660"/>
    <w:rsid w:val="009B786C"/>
    <w:rsid w:val="009B7D8D"/>
    <w:rsid w:val="009C0AB3"/>
    <w:rsid w:val="009C0DC8"/>
    <w:rsid w:val="009C0EDB"/>
    <w:rsid w:val="009C108F"/>
    <w:rsid w:val="009C14B1"/>
    <w:rsid w:val="009C1986"/>
    <w:rsid w:val="009C1BAD"/>
    <w:rsid w:val="009C1ECD"/>
    <w:rsid w:val="009C2448"/>
    <w:rsid w:val="009C32D9"/>
    <w:rsid w:val="009C33A5"/>
    <w:rsid w:val="009C3DFB"/>
    <w:rsid w:val="009C3E13"/>
    <w:rsid w:val="009C4B3F"/>
    <w:rsid w:val="009C4E21"/>
    <w:rsid w:val="009C5A6F"/>
    <w:rsid w:val="009C5BC5"/>
    <w:rsid w:val="009C5FD1"/>
    <w:rsid w:val="009C6318"/>
    <w:rsid w:val="009C69CE"/>
    <w:rsid w:val="009C69FA"/>
    <w:rsid w:val="009C6EFD"/>
    <w:rsid w:val="009C703A"/>
    <w:rsid w:val="009C7303"/>
    <w:rsid w:val="009C7A05"/>
    <w:rsid w:val="009D293B"/>
    <w:rsid w:val="009D31F7"/>
    <w:rsid w:val="009D3317"/>
    <w:rsid w:val="009D3898"/>
    <w:rsid w:val="009D3924"/>
    <w:rsid w:val="009D3ED4"/>
    <w:rsid w:val="009D40E4"/>
    <w:rsid w:val="009D6692"/>
    <w:rsid w:val="009D6950"/>
    <w:rsid w:val="009D6C94"/>
    <w:rsid w:val="009D6D16"/>
    <w:rsid w:val="009E11FE"/>
    <w:rsid w:val="009E2BC1"/>
    <w:rsid w:val="009E2F76"/>
    <w:rsid w:val="009E3310"/>
    <w:rsid w:val="009E3358"/>
    <w:rsid w:val="009E3462"/>
    <w:rsid w:val="009E34F3"/>
    <w:rsid w:val="009E3527"/>
    <w:rsid w:val="009E37B1"/>
    <w:rsid w:val="009E3C38"/>
    <w:rsid w:val="009E40A3"/>
    <w:rsid w:val="009E49AA"/>
    <w:rsid w:val="009E4DE5"/>
    <w:rsid w:val="009E4DF3"/>
    <w:rsid w:val="009E5D06"/>
    <w:rsid w:val="009E635B"/>
    <w:rsid w:val="009E6397"/>
    <w:rsid w:val="009E6809"/>
    <w:rsid w:val="009E73A4"/>
    <w:rsid w:val="009E7A91"/>
    <w:rsid w:val="009E7D12"/>
    <w:rsid w:val="009E7DCB"/>
    <w:rsid w:val="009F079A"/>
    <w:rsid w:val="009F2129"/>
    <w:rsid w:val="009F2199"/>
    <w:rsid w:val="009F25F4"/>
    <w:rsid w:val="009F30FE"/>
    <w:rsid w:val="009F3334"/>
    <w:rsid w:val="009F4033"/>
    <w:rsid w:val="009F4038"/>
    <w:rsid w:val="009F5259"/>
    <w:rsid w:val="009F5324"/>
    <w:rsid w:val="009F5DF7"/>
    <w:rsid w:val="009F5E74"/>
    <w:rsid w:val="009F5E9B"/>
    <w:rsid w:val="009F6786"/>
    <w:rsid w:val="009F6FDD"/>
    <w:rsid w:val="009F7EB4"/>
    <w:rsid w:val="00A0051A"/>
    <w:rsid w:val="00A0053A"/>
    <w:rsid w:val="00A01466"/>
    <w:rsid w:val="00A014D2"/>
    <w:rsid w:val="00A01977"/>
    <w:rsid w:val="00A024F5"/>
    <w:rsid w:val="00A02710"/>
    <w:rsid w:val="00A029F1"/>
    <w:rsid w:val="00A02C02"/>
    <w:rsid w:val="00A03618"/>
    <w:rsid w:val="00A03CB9"/>
    <w:rsid w:val="00A046D2"/>
    <w:rsid w:val="00A04C24"/>
    <w:rsid w:val="00A05908"/>
    <w:rsid w:val="00A06174"/>
    <w:rsid w:val="00A06A5C"/>
    <w:rsid w:val="00A06F16"/>
    <w:rsid w:val="00A075A2"/>
    <w:rsid w:val="00A07761"/>
    <w:rsid w:val="00A07AD9"/>
    <w:rsid w:val="00A1019A"/>
    <w:rsid w:val="00A1089F"/>
    <w:rsid w:val="00A12CAB"/>
    <w:rsid w:val="00A13250"/>
    <w:rsid w:val="00A147F9"/>
    <w:rsid w:val="00A14FFE"/>
    <w:rsid w:val="00A15D02"/>
    <w:rsid w:val="00A204B7"/>
    <w:rsid w:val="00A20C82"/>
    <w:rsid w:val="00A21379"/>
    <w:rsid w:val="00A21ADC"/>
    <w:rsid w:val="00A21CE4"/>
    <w:rsid w:val="00A220C2"/>
    <w:rsid w:val="00A226F3"/>
    <w:rsid w:val="00A2286F"/>
    <w:rsid w:val="00A228BD"/>
    <w:rsid w:val="00A22BB6"/>
    <w:rsid w:val="00A23465"/>
    <w:rsid w:val="00A23910"/>
    <w:rsid w:val="00A2463E"/>
    <w:rsid w:val="00A250A8"/>
    <w:rsid w:val="00A2512C"/>
    <w:rsid w:val="00A27017"/>
    <w:rsid w:val="00A27EC9"/>
    <w:rsid w:val="00A27F2E"/>
    <w:rsid w:val="00A30302"/>
    <w:rsid w:val="00A3105A"/>
    <w:rsid w:val="00A314AC"/>
    <w:rsid w:val="00A31980"/>
    <w:rsid w:val="00A321A9"/>
    <w:rsid w:val="00A3228D"/>
    <w:rsid w:val="00A32A53"/>
    <w:rsid w:val="00A3309D"/>
    <w:rsid w:val="00A333AE"/>
    <w:rsid w:val="00A335C3"/>
    <w:rsid w:val="00A341B5"/>
    <w:rsid w:val="00A34343"/>
    <w:rsid w:val="00A3442F"/>
    <w:rsid w:val="00A34BBF"/>
    <w:rsid w:val="00A36E05"/>
    <w:rsid w:val="00A37315"/>
    <w:rsid w:val="00A37FD7"/>
    <w:rsid w:val="00A40087"/>
    <w:rsid w:val="00A40615"/>
    <w:rsid w:val="00A40BD5"/>
    <w:rsid w:val="00A410F8"/>
    <w:rsid w:val="00A416D5"/>
    <w:rsid w:val="00A4228B"/>
    <w:rsid w:val="00A422E3"/>
    <w:rsid w:val="00A4238F"/>
    <w:rsid w:val="00A424FC"/>
    <w:rsid w:val="00A4285E"/>
    <w:rsid w:val="00A44662"/>
    <w:rsid w:val="00A449A4"/>
    <w:rsid w:val="00A45672"/>
    <w:rsid w:val="00A45764"/>
    <w:rsid w:val="00A457AB"/>
    <w:rsid w:val="00A45960"/>
    <w:rsid w:val="00A475AC"/>
    <w:rsid w:val="00A47708"/>
    <w:rsid w:val="00A479CD"/>
    <w:rsid w:val="00A50A52"/>
    <w:rsid w:val="00A50F65"/>
    <w:rsid w:val="00A519FF"/>
    <w:rsid w:val="00A51AC4"/>
    <w:rsid w:val="00A52ABA"/>
    <w:rsid w:val="00A52D1C"/>
    <w:rsid w:val="00A52DBC"/>
    <w:rsid w:val="00A53309"/>
    <w:rsid w:val="00A53BA0"/>
    <w:rsid w:val="00A53CF1"/>
    <w:rsid w:val="00A53F85"/>
    <w:rsid w:val="00A548CC"/>
    <w:rsid w:val="00A554FB"/>
    <w:rsid w:val="00A5563C"/>
    <w:rsid w:val="00A561BE"/>
    <w:rsid w:val="00A563BA"/>
    <w:rsid w:val="00A5649B"/>
    <w:rsid w:val="00A57E7E"/>
    <w:rsid w:val="00A60611"/>
    <w:rsid w:val="00A60861"/>
    <w:rsid w:val="00A61037"/>
    <w:rsid w:val="00A617C3"/>
    <w:rsid w:val="00A61DC0"/>
    <w:rsid w:val="00A62F04"/>
    <w:rsid w:val="00A6399D"/>
    <w:rsid w:val="00A63FD8"/>
    <w:rsid w:val="00A64522"/>
    <w:rsid w:val="00A64699"/>
    <w:rsid w:val="00A64942"/>
    <w:rsid w:val="00A655FB"/>
    <w:rsid w:val="00A6598E"/>
    <w:rsid w:val="00A65A81"/>
    <w:rsid w:val="00A65BCF"/>
    <w:rsid w:val="00A65CD3"/>
    <w:rsid w:val="00A65DE7"/>
    <w:rsid w:val="00A6643E"/>
    <w:rsid w:val="00A664B1"/>
    <w:rsid w:val="00A668DF"/>
    <w:rsid w:val="00A67826"/>
    <w:rsid w:val="00A67E7C"/>
    <w:rsid w:val="00A67F6F"/>
    <w:rsid w:val="00A67F79"/>
    <w:rsid w:val="00A70674"/>
    <w:rsid w:val="00A70A33"/>
    <w:rsid w:val="00A70AD6"/>
    <w:rsid w:val="00A71C81"/>
    <w:rsid w:val="00A72554"/>
    <w:rsid w:val="00A7261A"/>
    <w:rsid w:val="00A7266E"/>
    <w:rsid w:val="00A72A92"/>
    <w:rsid w:val="00A72D41"/>
    <w:rsid w:val="00A74B22"/>
    <w:rsid w:val="00A7553F"/>
    <w:rsid w:val="00A75D22"/>
    <w:rsid w:val="00A76812"/>
    <w:rsid w:val="00A77323"/>
    <w:rsid w:val="00A7796A"/>
    <w:rsid w:val="00A77C29"/>
    <w:rsid w:val="00A8013B"/>
    <w:rsid w:val="00A808AE"/>
    <w:rsid w:val="00A813DD"/>
    <w:rsid w:val="00A8147C"/>
    <w:rsid w:val="00A82575"/>
    <w:rsid w:val="00A826E4"/>
    <w:rsid w:val="00A82C4E"/>
    <w:rsid w:val="00A83397"/>
    <w:rsid w:val="00A84178"/>
    <w:rsid w:val="00A84792"/>
    <w:rsid w:val="00A86048"/>
    <w:rsid w:val="00A863AB"/>
    <w:rsid w:val="00A86B8F"/>
    <w:rsid w:val="00A878EC"/>
    <w:rsid w:val="00A90AC0"/>
    <w:rsid w:val="00A91671"/>
    <w:rsid w:val="00A92642"/>
    <w:rsid w:val="00A93663"/>
    <w:rsid w:val="00A94018"/>
    <w:rsid w:val="00A9408A"/>
    <w:rsid w:val="00A944E7"/>
    <w:rsid w:val="00A94908"/>
    <w:rsid w:val="00A94BD8"/>
    <w:rsid w:val="00A953DE"/>
    <w:rsid w:val="00A9562F"/>
    <w:rsid w:val="00A957B5"/>
    <w:rsid w:val="00A95B5C"/>
    <w:rsid w:val="00A95E86"/>
    <w:rsid w:val="00A95F17"/>
    <w:rsid w:val="00A95F27"/>
    <w:rsid w:val="00A9658C"/>
    <w:rsid w:val="00A9677B"/>
    <w:rsid w:val="00A96925"/>
    <w:rsid w:val="00AA03EC"/>
    <w:rsid w:val="00AA0792"/>
    <w:rsid w:val="00AA1C86"/>
    <w:rsid w:val="00AA243B"/>
    <w:rsid w:val="00AA2D1E"/>
    <w:rsid w:val="00AA32BC"/>
    <w:rsid w:val="00AA32D6"/>
    <w:rsid w:val="00AA3DDA"/>
    <w:rsid w:val="00AA3EED"/>
    <w:rsid w:val="00AA5052"/>
    <w:rsid w:val="00AA51A3"/>
    <w:rsid w:val="00AA51E6"/>
    <w:rsid w:val="00AA7307"/>
    <w:rsid w:val="00AA7731"/>
    <w:rsid w:val="00AA7A20"/>
    <w:rsid w:val="00AA7B1B"/>
    <w:rsid w:val="00AA7E03"/>
    <w:rsid w:val="00AB02C6"/>
    <w:rsid w:val="00AB0467"/>
    <w:rsid w:val="00AB0E30"/>
    <w:rsid w:val="00AB1650"/>
    <w:rsid w:val="00AB215C"/>
    <w:rsid w:val="00AB24D6"/>
    <w:rsid w:val="00AB2C76"/>
    <w:rsid w:val="00AB4015"/>
    <w:rsid w:val="00AB4029"/>
    <w:rsid w:val="00AB4309"/>
    <w:rsid w:val="00AB515D"/>
    <w:rsid w:val="00AB52B4"/>
    <w:rsid w:val="00AB554B"/>
    <w:rsid w:val="00AB57C8"/>
    <w:rsid w:val="00AB5D49"/>
    <w:rsid w:val="00AB5E97"/>
    <w:rsid w:val="00AB61D3"/>
    <w:rsid w:val="00AB6858"/>
    <w:rsid w:val="00AB6ACD"/>
    <w:rsid w:val="00AB6CBA"/>
    <w:rsid w:val="00AB6F50"/>
    <w:rsid w:val="00AC0A1E"/>
    <w:rsid w:val="00AC12B9"/>
    <w:rsid w:val="00AC143F"/>
    <w:rsid w:val="00AC3B94"/>
    <w:rsid w:val="00AC3D76"/>
    <w:rsid w:val="00AC4195"/>
    <w:rsid w:val="00AC4A54"/>
    <w:rsid w:val="00AC4A59"/>
    <w:rsid w:val="00AC5E23"/>
    <w:rsid w:val="00AC625C"/>
    <w:rsid w:val="00AC6585"/>
    <w:rsid w:val="00AC6764"/>
    <w:rsid w:val="00AC6BBB"/>
    <w:rsid w:val="00AC6DC2"/>
    <w:rsid w:val="00AC70A5"/>
    <w:rsid w:val="00AC7F7A"/>
    <w:rsid w:val="00AD0466"/>
    <w:rsid w:val="00AD09B2"/>
    <w:rsid w:val="00AD12FF"/>
    <w:rsid w:val="00AD2166"/>
    <w:rsid w:val="00AD2383"/>
    <w:rsid w:val="00AD2394"/>
    <w:rsid w:val="00AD27E9"/>
    <w:rsid w:val="00AD2FC2"/>
    <w:rsid w:val="00AD49E8"/>
    <w:rsid w:val="00AD61B2"/>
    <w:rsid w:val="00AD62E8"/>
    <w:rsid w:val="00AD677D"/>
    <w:rsid w:val="00AD6E03"/>
    <w:rsid w:val="00AD7080"/>
    <w:rsid w:val="00AD70CE"/>
    <w:rsid w:val="00AE0097"/>
    <w:rsid w:val="00AE023A"/>
    <w:rsid w:val="00AE10AD"/>
    <w:rsid w:val="00AE13D1"/>
    <w:rsid w:val="00AE24EF"/>
    <w:rsid w:val="00AE34CC"/>
    <w:rsid w:val="00AE372F"/>
    <w:rsid w:val="00AE374F"/>
    <w:rsid w:val="00AE382F"/>
    <w:rsid w:val="00AE3F37"/>
    <w:rsid w:val="00AE4F28"/>
    <w:rsid w:val="00AE5C67"/>
    <w:rsid w:val="00AE5EB8"/>
    <w:rsid w:val="00AE636C"/>
    <w:rsid w:val="00AE6507"/>
    <w:rsid w:val="00AE69E4"/>
    <w:rsid w:val="00AE6D9A"/>
    <w:rsid w:val="00AE74A4"/>
    <w:rsid w:val="00AF03A1"/>
    <w:rsid w:val="00AF070C"/>
    <w:rsid w:val="00AF0B70"/>
    <w:rsid w:val="00AF1D00"/>
    <w:rsid w:val="00AF3682"/>
    <w:rsid w:val="00AF3DC7"/>
    <w:rsid w:val="00AF4117"/>
    <w:rsid w:val="00AF5060"/>
    <w:rsid w:val="00AF51D8"/>
    <w:rsid w:val="00AF5CCE"/>
    <w:rsid w:val="00AF7780"/>
    <w:rsid w:val="00AF79E9"/>
    <w:rsid w:val="00AF7A4E"/>
    <w:rsid w:val="00AF7F9D"/>
    <w:rsid w:val="00B00356"/>
    <w:rsid w:val="00B003A2"/>
    <w:rsid w:val="00B00494"/>
    <w:rsid w:val="00B00D99"/>
    <w:rsid w:val="00B01602"/>
    <w:rsid w:val="00B01C45"/>
    <w:rsid w:val="00B025FA"/>
    <w:rsid w:val="00B055F5"/>
    <w:rsid w:val="00B05FCA"/>
    <w:rsid w:val="00B06316"/>
    <w:rsid w:val="00B06AB7"/>
    <w:rsid w:val="00B06F5C"/>
    <w:rsid w:val="00B06FEE"/>
    <w:rsid w:val="00B07995"/>
    <w:rsid w:val="00B10158"/>
    <w:rsid w:val="00B10696"/>
    <w:rsid w:val="00B11449"/>
    <w:rsid w:val="00B1199C"/>
    <w:rsid w:val="00B11F5E"/>
    <w:rsid w:val="00B125FB"/>
    <w:rsid w:val="00B12BEA"/>
    <w:rsid w:val="00B13B99"/>
    <w:rsid w:val="00B14D81"/>
    <w:rsid w:val="00B15B98"/>
    <w:rsid w:val="00B16476"/>
    <w:rsid w:val="00B16B91"/>
    <w:rsid w:val="00B17A4E"/>
    <w:rsid w:val="00B17EA4"/>
    <w:rsid w:val="00B2003D"/>
    <w:rsid w:val="00B203A6"/>
    <w:rsid w:val="00B2224E"/>
    <w:rsid w:val="00B22BC4"/>
    <w:rsid w:val="00B22CBC"/>
    <w:rsid w:val="00B23224"/>
    <w:rsid w:val="00B23725"/>
    <w:rsid w:val="00B23C16"/>
    <w:rsid w:val="00B23E03"/>
    <w:rsid w:val="00B2433B"/>
    <w:rsid w:val="00B246D2"/>
    <w:rsid w:val="00B257B4"/>
    <w:rsid w:val="00B257CB"/>
    <w:rsid w:val="00B258F7"/>
    <w:rsid w:val="00B2691A"/>
    <w:rsid w:val="00B2738C"/>
    <w:rsid w:val="00B27444"/>
    <w:rsid w:val="00B27646"/>
    <w:rsid w:val="00B2773A"/>
    <w:rsid w:val="00B27974"/>
    <w:rsid w:val="00B30592"/>
    <w:rsid w:val="00B3093C"/>
    <w:rsid w:val="00B30C73"/>
    <w:rsid w:val="00B32048"/>
    <w:rsid w:val="00B32600"/>
    <w:rsid w:val="00B330CA"/>
    <w:rsid w:val="00B33197"/>
    <w:rsid w:val="00B34625"/>
    <w:rsid w:val="00B346F4"/>
    <w:rsid w:val="00B35423"/>
    <w:rsid w:val="00B36417"/>
    <w:rsid w:val="00B36542"/>
    <w:rsid w:val="00B36D46"/>
    <w:rsid w:val="00B36FC2"/>
    <w:rsid w:val="00B371BD"/>
    <w:rsid w:val="00B402C7"/>
    <w:rsid w:val="00B40810"/>
    <w:rsid w:val="00B40A69"/>
    <w:rsid w:val="00B41123"/>
    <w:rsid w:val="00B41243"/>
    <w:rsid w:val="00B41372"/>
    <w:rsid w:val="00B414FA"/>
    <w:rsid w:val="00B429EE"/>
    <w:rsid w:val="00B431BF"/>
    <w:rsid w:val="00B433D6"/>
    <w:rsid w:val="00B436E7"/>
    <w:rsid w:val="00B43F04"/>
    <w:rsid w:val="00B43FB2"/>
    <w:rsid w:val="00B4529E"/>
    <w:rsid w:val="00B45465"/>
    <w:rsid w:val="00B46206"/>
    <w:rsid w:val="00B503E2"/>
    <w:rsid w:val="00B50D43"/>
    <w:rsid w:val="00B5155D"/>
    <w:rsid w:val="00B51851"/>
    <w:rsid w:val="00B51A92"/>
    <w:rsid w:val="00B51E6F"/>
    <w:rsid w:val="00B524AC"/>
    <w:rsid w:val="00B53AF1"/>
    <w:rsid w:val="00B54D39"/>
    <w:rsid w:val="00B56FDA"/>
    <w:rsid w:val="00B57D23"/>
    <w:rsid w:val="00B6067F"/>
    <w:rsid w:val="00B60BE4"/>
    <w:rsid w:val="00B611DD"/>
    <w:rsid w:val="00B6138F"/>
    <w:rsid w:val="00B613FC"/>
    <w:rsid w:val="00B6147F"/>
    <w:rsid w:val="00B61D7D"/>
    <w:rsid w:val="00B62474"/>
    <w:rsid w:val="00B62FB1"/>
    <w:rsid w:val="00B63FE8"/>
    <w:rsid w:val="00B640B9"/>
    <w:rsid w:val="00B644D7"/>
    <w:rsid w:val="00B651EC"/>
    <w:rsid w:val="00B65244"/>
    <w:rsid w:val="00B65E0E"/>
    <w:rsid w:val="00B65E3E"/>
    <w:rsid w:val="00B666BB"/>
    <w:rsid w:val="00B66B88"/>
    <w:rsid w:val="00B6757B"/>
    <w:rsid w:val="00B67FB9"/>
    <w:rsid w:val="00B70963"/>
    <w:rsid w:val="00B71A46"/>
    <w:rsid w:val="00B71C1E"/>
    <w:rsid w:val="00B72063"/>
    <w:rsid w:val="00B7284D"/>
    <w:rsid w:val="00B730D1"/>
    <w:rsid w:val="00B73391"/>
    <w:rsid w:val="00B73D5C"/>
    <w:rsid w:val="00B74713"/>
    <w:rsid w:val="00B74E0F"/>
    <w:rsid w:val="00B74FA3"/>
    <w:rsid w:val="00B755AE"/>
    <w:rsid w:val="00B7560B"/>
    <w:rsid w:val="00B75971"/>
    <w:rsid w:val="00B75C61"/>
    <w:rsid w:val="00B75F0B"/>
    <w:rsid w:val="00B7621E"/>
    <w:rsid w:val="00B7632D"/>
    <w:rsid w:val="00B7651C"/>
    <w:rsid w:val="00B76780"/>
    <w:rsid w:val="00B76930"/>
    <w:rsid w:val="00B77443"/>
    <w:rsid w:val="00B806E1"/>
    <w:rsid w:val="00B80AC4"/>
    <w:rsid w:val="00B8233E"/>
    <w:rsid w:val="00B825BF"/>
    <w:rsid w:val="00B82AFE"/>
    <w:rsid w:val="00B83851"/>
    <w:rsid w:val="00B8430A"/>
    <w:rsid w:val="00B84367"/>
    <w:rsid w:val="00B85980"/>
    <w:rsid w:val="00B85BDF"/>
    <w:rsid w:val="00B85C58"/>
    <w:rsid w:val="00B86386"/>
    <w:rsid w:val="00B864C7"/>
    <w:rsid w:val="00B866C2"/>
    <w:rsid w:val="00B868AF"/>
    <w:rsid w:val="00B86C53"/>
    <w:rsid w:val="00B86EBB"/>
    <w:rsid w:val="00B872BF"/>
    <w:rsid w:val="00B8765D"/>
    <w:rsid w:val="00B8787E"/>
    <w:rsid w:val="00B90C5C"/>
    <w:rsid w:val="00B91296"/>
    <w:rsid w:val="00B91F22"/>
    <w:rsid w:val="00B92865"/>
    <w:rsid w:val="00B93121"/>
    <w:rsid w:val="00B93423"/>
    <w:rsid w:val="00B93FE6"/>
    <w:rsid w:val="00B9428D"/>
    <w:rsid w:val="00B94B17"/>
    <w:rsid w:val="00B94DB0"/>
    <w:rsid w:val="00B94E2E"/>
    <w:rsid w:val="00B95B86"/>
    <w:rsid w:val="00B9657E"/>
    <w:rsid w:val="00B96946"/>
    <w:rsid w:val="00B96A70"/>
    <w:rsid w:val="00B97AB2"/>
    <w:rsid w:val="00BA0A04"/>
    <w:rsid w:val="00BA16B2"/>
    <w:rsid w:val="00BA211B"/>
    <w:rsid w:val="00BA234E"/>
    <w:rsid w:val="00BA23FA"/>
    <w:rsid w:val="00BA2CBF"/>
    <w:rsid w:val="00BA2DC2"/>
    <w:rsid w:val="00BA3B90"/>
    <w:rsid w:val="00BA41F0"/>
    <w:rsid w:val="00BA4489"/>
    <w:rsid w:val="00BA4686"/>
    <w:rsid w:val="00BA4741"/>
    <w:rsid w:val="00BA5462"/>
    <w:rsid w:val="00BA64A0"/>
    <w:rsid w:val="00BA79E8"/>
    <w:rsid w:val="00BB08B2"/>
    <w:rsid w:val="00BB19A0"/>
    <w:rsid w:val="00BB1A76"/>
    <w:rsid w:val="00BB1E47"/>
    <w:rsid w:val="00BB22F0"/>
    <w:rsid w:val="00BB2C3E"/>
    <w:rsid w:val="00BB336B"/>
    <w:rsid w:val="00BB4708"/>
    <w:rsid w:val="00BB474B"/>
    <w:rsid w:val="00BB4BAF"/>
    <w:rsid w:val="00BB51AC"/>
    <w:rsid w:val="00BB5FE0"/>
    <w:rsid w:val="00BB6192"/>
    <w:rsid w:val="00BB6873"/>
    <w:rsid w:val="00BB6A19"/>
    <w:rsid w:val="00BB6A69"/>
    <w:rsid w:val="00BB7350"/>
    <w:rsid w:val="00BB76FA"/>
    <w:rsid w:val="00BB7939"/>
    <w:rsid w:val="00BC0571"/>
    <w:rsid w:val="00BC0722"/>
    <w:rsid w:val="00BC08CB"/>
    <w:rsid w:val="00BC08CF"/>
    <w:rsid w:val="00BC0BC7"/>
    <w:rsid w:val="00BC13A6"/>
    <w:rsid w:val="00BC1A95"/>
    <w:rsid w:val="00BC2CB0"/>
    <w:rsid w:val="00BC31DA"/>
    <w:rsid w:val="00BC3AA6"/>
    <w:rsid w:val="00BC3E2B"/>
    <w:rsid w:val="00BC612A"/>
    <w:rsid w:val="00BC6A07"/>
    <w:rsid w:val="00BC6C7F"/>
    <w:rsid w:val="00BC6F8C"/>
    <w:rsid w:val="00BC7068"/>
    <w:rsid w:val="00BC7272"/>
    <w:rsid w:val="00BC72AE"/>
    <w:rsid w:val="00BC7562"/>
    <w:rsid w:val="00BD0877"/>
    <w:rsid w:val="00BD2076"/>
    <w:rsid w:val="00BD2F85"/>
    <w:rsid w:val="00BD3B3A"/>
    <w:rsid w:val="00BD4E09"/>
    <w:rsid w:val="00BD4ED7"/>
    <w:rsid w:val="00BD509D"/>
    <w:rsid w:val="00BD5DEE"/>
    <w:rsid w:val="00BD5F55"/>
    <w:rsid w:val="00BD624F"/>
    <w:rsid w:val="00BD663E"/>
    <w:rsid w:val="00BD6F83"/>
    <w:rsid w:val="00BD7BED"/>
    <w:rsid w:val="00BD7CFB"/>
    <w:rsid w:val="00BD7D28"/>
    <w:rsid w:val="00BE09B2"/>
    <w:rsid w:val="00BE110E"/>
    <w:rsid w:val="00BE1DE5"/>
    <w:rsid w:val="00BE350C"/>
    <w:rsid w:val="00BE3986"/>
    <w:rsid w:val="00BE4224"/>
    <w:rsid w:val="00BE484E"/>
    <w:rsid w:val="00BE5909"/>
    <w:rsid w:val="00BE5D92"/>
    <w:rsid w:val="00BE6D97"/>
    <w:rsid w:val="00BE74C4"/>
    <w:rsid w:val="00BE7DEE"/>
    <w:rsid w:val="00BF0215"/>
    <w:rsid w:val="00BF06E8"/>
    <w:rsid w:val="00BF1017"/>
    <w:rsid w:val="00BF12B1"/>
    <w:rsid w:val="00BF1381"/>
    <w:rsid w:val="00BF3A26"/>
    <w:rsid w:val="00BF3FB3"/>
    <w:rsid w:val="00BF48AA"/>
    <w:rsid w:val="00BF5293"/>
    <w:rsid w:val="00BF5331"/>
    <w:rsid w:val="00BF614C"/>
    <w:rsid w:val="00BF65B9"/>
    <w:rsid w:val="00BF6EBC"/>
    <w:rsid w:val="00BF70FF"/>
    <w:rsid w:val="00BF7B96"/>
    <w:rsid w:val="00BF7FEC"/>
    <w:rsid w:val="00C000E8"/>
    <w:rsid w:val="00C0093F"/>
    <w:rsid w:val="00C00B5E"/>
    <w:rsid w:val="00C00D07"/>
    <w:rsid w:val="00C01102"/>
    <w:rsid w:val="00C01955"/>
    <w:rsid w:val="00C01D66"/>
    <w:rsid w:val="00C02D54"/>
    <w:rsid w:val="00C02E4C"/>
    <w:rsid w:val="00C03BB0"/>
    <w:rsid w:val="00C04517"/>
    <w:rsid w:val="00C04D10"/>
    <w:rsid w:val="00C05748"/>
    <w:rsid w:val="00C057EF"/>
    <w:rsid w:val="00C06ACC"/>
    <w:rsid w:val="00C06E63"/>
    <w:rsid w:val="00C074F6"/>
    <w:rsid w:val="00C07B18"/>
    <w:rsid w:val="00C10319"/>
    <w:rsid w:val="00C10411"/>
    <w:rsid w:val="00C1050D"/>
    <w:rsid w:val="00C105CC"/>
    <w:rsid w:val="00C119EE"/>
    <w:rsid w:val="00C12D68"/>
    <w:rsid w:val="00C12ED6"/>
    <w:rsid w:val="00C1369A"/>
    <w:rsid w:val="00C13E8E"/>
    <w:rsid w:val="00C14044"/>
    <w:rsid w:val="00C14346"/>
    <w:rsid w:val="00C14637"/>
    <w:rsid w:val="00C15849"/>
    <w:rsid w:val="00C15D6D"/>
    <w:rsid w:val="00C15EA6"/>
    <w:rsid w:val="00C166E1"/>
    <w:rsid w:val="00C167C2"/>
    <w:rsid w:val="00C16E63"/>
    <w:rsid w:val="00C17133"/>
    <w:rsid w:val="00C17A75"/>
    <w:rsid w:val="00C21327"/>
    <w:rsid w:val="00C215B2"/>
    <w:rsid w:val="00C233AD"/>
    <w:rsid w:val="00C238EB"/>
    <w:rsid w:val="00C246E1"/>
    <w:rsid w:val="00C24784"/>
    <w:rsid w:val="00C24E97"/>
    <w:rsid w:val="00C25014"/>
    <w:rsid w:val="00C252C6"/>
    <w:rsid w:val="00C26A23"/>
    <w:rsid w:val="00C272B6"/>
    <w:rsid w:val="00C27380"/>
    <w:rsid w:val="00C27711"/>
    <w:rsid w:val="00C27DD7"/>
    <w:rsid w:val="00C31363"/>
    <w:rsid w:val="00C31440"/>
    <w:rsid w:val="00C34B46"/>
    <w:rsid w:val="00C34D0B"/>
    <w:rsid w:val="00C35922"/>
    <w:rsid w:val="00C362D6"/>
    <w:rsid w:val="00C36BE6"/>
    <w:rsid w:val="00C36F76"/>
    <w:rsid w:val="00C378A1"/>
    <w:rsid w:val="00C378CE"/>
    <w:rsid w:val="00C4036A"/>
    <w:rsid w:val="00C40857"/>
    <w:rsid w:val="00C40A5C"/>
    <w:rsid w:val="00C41984"/>
    <w:rsid w:val="00C421A0"/>
    <w:rsid w:val="00C432D1"/>
    <w:rsid w:val="00C441C2"/>
    <w:rsid w:val="00C4474F"/>
    <w:rsid w:val="00C451BB"/>
    <w:rsid w:val="00C45B01"/>
    <w:rsid w:val="00C46EC5"/>
    <w:rsid w:val="00C47B9D"/>
    <w:rsid w:val="00C50720"/>
    <w:rsid w:val="00C50792"/>
    <w:rsid w:val="00C50F58"/>
    <w:rsid w:val="00C5230B"/>
    <w:rsid w:val="00C52593"/>
    <w:rsid w:val="00C52A0A"/>
    <w:rsid w:val="00C52F86"/>
    <w:rsid w:val="00C547A6"/>
    <w:rsid w:val="00C54A40"/>
    <w:rsid w:val="00C57072"/>
    <w:rsid w:val="00C579F7"/>
    <w:rsid w:val="00C6022C"/>
    <w:rsid w:val="00C605D0"/>
    <w:rsid w:val="00C6083C"/>
    <w:rsid w:val="00C60F80"/>
    <w:rsid w:val="00C61564"/>
    <w:rsid w:val="00C6180B"/>
    <w:rsid w:val="00C62A9A"/>
    <w:rsid w:val="00C63057"/>
    <w:rsid w:val="00C63A42"/>
    <w:rsid w:val="00C64B31"/>
    <w:rsid w:val="00C6659A"/>
    <w:rsid w:val="00C67F11"/>
    <w:rsid w:val="00C70836"/>
    <w:rsid w:val="00C711C3"/>
    <w:rsid w:val="00C71D2B"/>
    <w:rsid w:val="00C72C66"/>
    <w:rsid w:val="00C72CE8"/>
    <w:rsid w:val="00C739E0"/>
    <w:rsid w:val="00C73EB1"/>
    <w:rsid w:val="00C73F6F"/>
    <w:rsid w:val="00C74BCB"/>
    <w:rsid w:val="00C753A1"/>
    <w:rsid w:val="00C7597B"/>
    <w:rsid w:val="00C75C10"/>
    <w:rsid w:val="00C77112"/>
    <w:rsid w:val="00C773AC"/>
    <w:rsid w:val="00C7758B"/>
    <w:rsid w:val="00C7774B"/>
    <w:rsid w:val="00C77B69"/>
    <w:rsid w:val="00C8094E"/>
    <w:rsid w:val="00C80ED3"/>
    <w:rsid w:val="00C811EF"/>
    <w:rsid w:val="00C81549"/>
    <w:rsid w:val="00C8165F"/>
    <w:rsid w:val="00C826A4"/>
    <w:rsid w:val="00C826BC"/>
    <w:rsid w:val="00C826C1"/>
    <w:rsid w:val="00C8279B"/>
    <w:rsid w:val="00C8320C"/>
    <w:rsid w:val="00C83B80"/>
    <w:rsid w:val="00C83BF9"/>
    <w:rsid w:val="00C83C6E"/>
    <w:rsid w:val="00C8426B"/>
    <w:rsid w:val="00C84C7D"/>
    <w:rsid w:val="00C84E3B"/>
    <w:rsid w:val="00C866CF"/>
    <w:rsid w:val="00C87BE7"/>
    <w:rsid w:val="00C90312"/>
    <w:rsid w:val="00C905D5"/>
    <w:rsid w:val="00C90DBC"/>
    <w:rsid w:val="00C91283"/>
    <w:rsid w:val="00C91335"/>
    <w:rsid w:val="00C913BE"/>
    <w:rsid w:val="00C914A7"/>
    <w:rsid w:val="00C918CD"/>
    <w:rsid w:val="00C91DD2"/>
    <w:rsid w:val="00C9281B"/>
    <w:rsid w:val="00C92E62"/>
    <w:rsid w:val="00C935F2"/>
    <w:rsid w:val="00C942E1"/>
    <w:rsid w:val="00C94372"/>
    <w:rsid w:val="00C956DE"/>
    <w:rsid w:val="00C95AB1"/>
    <w:rsid w:val="00C960D7"/>
    <w:rsid w:val="00C9680F"/>
    <w:rsid w:val="00C96899"/>
    <w:rsid w:val="00C970F3"/>
    <w:rsid w:val="00C97114"/>
    <w:rsid w:val="00C97C79"/>
    <w:rsid w:val="00C97D9E"/>
    <w:rsid w:val="00CA0553"/>
    <w:rsid w:val="00CA05A0"/>
    <w:rsid w:val="00CA0BC5"/>
    <w:rsid w:val="00CA11F7"/>
    <w:rsid w:val="00CA15B9"/>
    <w:rsid w:val="00CA1A57"/>
    <w:rsid w:val="00CA1D1F"/>
    <w:rsid w:val="00CA2021"/>
    <w:rsid w:val="00CA2096"/>
    <w:rsid w:val="00CA2AB3"/>
    <w:rsid w:val="00CA2BDB"/>
    <w:rsid w:val="00CA2F58"/>
    <w:rsid w:val="00CA4429"/>
    <w:rsid w:val="00CA4758"/>
    <w:rsid w:val="00CA4AC9"/>
    <w:rsid w:val="00CA4E53"/>
    <w:rsid w:val="00CA6742"/>
    <w:rsid w:val="00CA692A"/>
    <w:rsid w:val="00CA7046"/>
    <w:rsid w:val="00CA7385"/>
    <w:rsid w:val="00CA7914"/>
    <w:rsid w:val="00CA7FD7"/>
    <w:rsid w:val="00CB076C"/>
    <w:rsid w:val="00CB0E86"/>
    <w:rsid w:val="00CB1B56"/>
    <w:rsid w:val="00CB1E29"/>
    <w:rsid w:val="00CB21BC"/>
    <w:rsid w:val="00CB26A8"/>
    <w:rsid w:val="00CB27C6"/>
    <w:rsid w:val="00CB3A6B"/>
    <w:rsid w:val="00CB44BF"/>
    <w:rsid w:val="00CB5EB8"/>
    <w:rsid w:val="00CB61E2"/>
    <w:rsid w:val="00CB6488"/>
    <w:rsid w:val="00CB6924"/>
    <w:rsid w:val="00CB6F0D"/>
    <w:rsid w:val="00CB700D"/>
    <w:rsid w:val="00CB724E"/>
    <w:rsid w:val="00CB73A3"/>
    <w:rsid w:val="00CC0EE5"/>
    <w:rsid w:val="00CC11ED"/>
    <w:rsid w:val="00CC33AC"/>
    <w:rsid w:val="00CC3E7C"/>
    <w:rsid w:val="00CC419E"/>
    <w:rsid w:val="00CC4248"/>
    <w:rsid w:val="00CC472F"/>
    <w:rsid w:val="00CC4C48"/>
    <w:rsid w:val="00CC61A2"/>
    <w:rsid w:val="00CC71FC"/>
    <w:rsid w:val="00CC7FEB"/>
    <w:rsid w:val="00CD0062"/>
    <w:rsid w:val="00CD020B"/>
    <w:rsid w:val="00CD0453"/>
    <w:rsid w:val="00CD0DC8"/>
    <w:rsid w:val="00CD0E34"/>
    <w:rsid w:val="00CD12EF"/>
    <w:rsid w:val="00CD1F78"/>
    <w:rsid w:val="00CD2089"/>
    <w:rsid w:val="00CD3A79"/>
    <w:rsid w:val="00CD4D76"/>
    <w:rsid w:val="00CD4D8F"/>
    <w:rsid w:val="00CD57B0"/>
    <w:rsid w:val="00CD7220"/>
    <w:rsid w:val="00CE0316"/>
    <w:rsid w:val="00CE10AA"/>
    <w:rsid w:val="00CE1171"/>
    <w:rsid w:val="00CE165A"/>
    <w:rsid w:val="00CE332A"/>
    <w:rsid w:val="00CE33E9"/>
    <w:rsid w:val="00CE46FB"/>
    <w:rsid w:val="00CE6997"/>
    <w:rsid w:val="00CE6E2B"/>
    <w:rsid w:val="00CE7F9B"/>
    <w:rsid w:val="00CE7FD1"/>
    <w:rsid w:val="00CF0F12"/>
    <w:rsid w:val="00CF0F91"/>
    <w:rsid w:val="00CF203C"/>
    <w:rsid w:val="00CF22F7"/>
    <w:rsid w:val="00CF2C66"/>
    <w:rsid w:val="00CF2E53"/>
    <w:rsid w:val="00CF3013"/>
    <w:rsid w:val="00CF3063"/>
    <w:rsid w:val="00CF3227"/>
    <w:rsid w:val="00CF358D"/>
    <w:rsid w:val="00CF3895"/>
    <w:rsid w:val="00CF39B7"/>
    <w:rsid w:val="00CF3FC8"/>
    <w:rsid w:val="00CF4A19"/>
    <w:rsid w:val="00CF4DAB"/>
    <w:rsid w:val="00CF6225"/>
    <w:rsid w:val="00CF63E7"/>
    <w:rsid w:val="00CF6E87"/>
    <w:rsid w:val="00CF6EF0"/>
    <w:rsid w:val="00D00528"/>
    <w:rsid w:val="00D00683"/>
    <w:rsid w:val="00D0074E"/>
    <w:rsid w:val="00D0085A"/>
    <w:rsid w:val="00D00B94"/>
    <w:rsid w:val="00D00C57"/>
    <w:rsid w:val="00D01D96"/>
    <w:rsid w:val="00D01E24"/>
    <w:rsid w:val="00D01E56"/>
    <w:rsid w:val="00D027EB"/>
    <w:rsid w:val="00D02F42"/>
    <w:rsid w:val="00D0324B"/>
    <w:rsid w:val="00D0344C"/>
    <w:rsid w:val="00D03AA7"/>
    <w:rsid w:val="00D04360"/>
    <w:rsid w:val="00D0459C"/>
    <w:rsid w:val="00D05BDD"/>
    <w:rsid w:val="00D06601"/>
    <w:rsid w:val="00D076D2"/>
    <w:rsid w:val="00D07AB0"/>
    <w:rsid w:val="00D106CC"/>
    <w:rsid w:val="00D10C44"/>
    <w:rsid w:val="00D10C7F"/>
    <w:rsid w:val="00D11079"/>
    <w:rsid w:val="00D1117D"/>
    <w:rsid w:val="00D1133D"/>
    <w:rsid w:val="00D115C6"/>
    <w:rsid w:val="00D1277C"/>
    <w:rsid w:val="00D1299A"/>
    <w:rsid w:val="00D12B53"/>
    <w:rsid w:val="00D13A0D"/>
    <w:rsid w:val="00D13A7A"/>
    <w:rsid w:val="00D1423F"/>
    <w:rsid w:val="00D14297"/>
    <w:rsid w:val="00D1433B"/>
    <w:rsid w:val="00D14619"/>
    <w:rsid w:val="00D147BF"/>
    <w:rsid w:val="00D1612B"/>
    <w:rsid w:val="00D16BA4"/>
    <w:rsid w:val="00D16D29"/>
    <w:rsid w:val="00D1701A"/>
    <w:rsid w:val="00D2029B"/>
    <w:rsid w:val="00D206E8"/>
    <w:rsid w:val="00D21196"/>
    <w:rsid w:val="00D21652"/>
    <w:rsid w:val="00D216D2"/>
    <w:rsid w:val="00D21C1C"/>
    <w:rsid w:val="00D220DD"/>
    <w:rsid w:val="00D234F8"/>
    <w:rsid w:val="00D2581A"/>
    <w:rsid w:val="00D2633F"/>
    <w:rsid w:val="00D2679D"/>
    <w:rsid w:val="00D268C2"/>
    <w:rsid w:val="00D26FBB"/>
    <w:rsid w:val="00D27390"/>
    <w:rsid w:val="00D27D4A"/>
    <w:rsid w:val="00D30085"/>
    <w:rsid w:val="00D3068A"/>
    <w:rsid w:val="00D306C4"/>
    <w:rsid w:val="00D31383"/>
    <w:rsid w:val="00D31420"/>
    <w:rsid w:val="00D319CD"/>
    <w:rsid w:val="00D32261"/>
    <w:rsid w:val="00D32BEE"/>
    <w:rsid w:val="00D32BF0"/>
    <w:rsid w:val="00D33151"/>
    <w:rsid w:val="00D345BC"/>
    <w:rsid w:val="00D34C9C"/>
    <w:rsid w:val="00D363C1"/>
    <w:rsid w:val="00D36614"/>
    <w:rsid w:val="00D3695B"/>
    <w:rsid w:val="00D36BD2"/>
    <w:rsid w:val="00D3761F"/>
    <w:rsid w:val="00D37F64"/>
    <w:rsid w:val="00D40397"/>
    <w:rsid w:val="00D405DC"/>
    <w:rsid w:val="00D4060B"/>
    <w:rsid w:val="00D41704"/>
    <w:rsid w:val="00D4194E"/>
    <w:rsid w:val="00D419B0"/>
    <w:rsid w:val="00D42783"/>
    <w:rsid w:val="00D427C2"/>
    <w:rsid w:val="00D42CED"/>
    <w:rsid w:val="00D4370C"/>
    <w:rsid w:val="00D43E3A"/>
    <w:rsid w:val="00D449C3"/>
    <w:rsid w:val="00D457A5"/>
    <w:rsid w:val="00D45CF4"/>
    <w:rsid w:val="00D46621"/>
    <w:rsid w:val="00D46A3B"/>
    <w:rsid w:val="00D46C79"/>
    <w:rsid w:val="00D46F9A"/>
    <w:rsid w:val="00D475E1"/>
    <w:rsid w:val="00D50DFD"/>
    <w:rsid w:val="00D5280B"/>
    <w:rsid w:val="00D52CA4"/>
    <w:rsid w:val="00D52CFC"/>
    <w:rsid w:val="00D53032"/>
    <w:rsid w:val="00D535D2"/>
    <w:rsid w:val="00D537A3"/>
    <w:rsid w:val="00D53821"/>
    <w:rsid w:val="00D53C64"/>
    <w:rsid w:val="00D53F20"/>
    <w:rsid w:val="00D548C4"/>
    <w:rsid w:val="00D5516B"/>
    <w:rsid w:val="00D55957"/>
    <w:rsid w:val="00D55D73"/>
    <w:rsid w:val="00D56367"/>
    <w:rsid w:val="00D5637D"/>
    <w:rsid w:val="00D56A89"/>
    <w:rsid w:val="00D60CB8"/>
    <w:rsid w:val="00D6191F"/>
    <w:rsid w:val="00D61A1A"/>
    <w:rsid w:val="00D6318A"/>
    <w:rsid w:val="00D63466"/>
    <w:rsid w:val="00D63652"/>
    <w:rsid w:val="00D63BE4"/>
    <w:rsid w:val="00D63EE9"/>
    <w:rsid w:val="00D6443A"/>
    <w:rsid w:val="00D64E25"/>
    <w:rsid w:val="00D64E99"/>
    <w:rsid w:val="00D651BC"/>
    <w:rsid w:val="00D65F46"/>
    <w:rsid w:val="00D6600C"/>
    <w:rsid w:val="00D673E3"/>
    <w:rsid w:val="00D67D41"/>
    <w:rsid w:val="00D67E06"/>
    <w:rsid w:val="00D713C4"/>
    <w:rsid w:val="00D7198A"/>
    <w:rsid w:val="00D72828"/>
    <w:rsid w:val="00D729A3"/>
    <w:rsid w:val="00D72F89"/>
    <w:rsid w:val="00D73D63"/>
    <w:rsid w:val="00D73E52"/>
    <w:rsid w:val="00D753BE"/>
    <w:rsid w:val="00D7670A"/>
    <w:rsid w:val="00D76950"/>
    <w:rsid w:val="00D76E41"/>
    <w:rsid w:val="00D76FF6"/>
    <w:rsid w:val="00D77133"/>
    <w:rsid w:val="00D77567"/>
    <w:rsid w:val="00D8006E"/>
    <w:rsid w:val="00D80162"/>
    <w:rsid w:val="00D8080B"/>
    <w:rsid w:val="00D81093"/>
    <w:rsid w:val="00D810C7"/>
    <w:rsid w:val="00D8128A"/>
    <w:rsid w:val="00D81352"/>
    <w:rsid w:val="00D81A41"/>
    <w:rsid w:val="00D81E3E"/>
    <w:rsid w:val="00D81E83"/>
    <w:rsid w:val="00D821E8"/>
    <w:rsid w:val="00D82312"/>
    <w:rsid w:val="00D83514"/>
    <w:rsid w:val="00D836D5"/>
    <w:rsid w:val="00D836F1"/>
    <w:rsid w:val="00D83737"/>
    <w:rsid w:val="00D83834"/>
    <w:rsid w:val="00D83BFE"/>
    <w:rsid w:val="00D840E9"/>
    <w:rsid w:val="00D84538"/>
    <w:rsid w:val="00D8462A"/>
    <w:rsid w:val="00D847D1"/>
    <w:rsid w:val="00D848B0"/>
    <w:rsid w:val="00D84C8A"/>
    <w:rsid w:val="00D85075"/>
    <w:rsid w:val="00D85383"/>
    <w:rsid w:val="00D8559D"/>
    <w:rsid w:val="00D859DC"/>
    <w:rsid w:val="00D85A53"/>
    <w:rsid w:val="00D85A59"/>
    <w:rsid w:val="00D868D2"/>
    <w:rsid w:val="00D869B7"/>
    <w:rsid w:val="00D86A1D"/>
    <w:rsid w:val="00D86E36"/>
    <w:rsid w:val="00D86EDA"/>
    <w:rsid w:val="00D878FA"/>
    <w:rsid w:val="00D87FD4"/>
    <w:rsid w:val="00D90269"/>
    <w:rsid w:val="00D903EB"/>
    <w:rsid w:val="00D904F8"/>
    <w:rsid w:val="00D9086B"/>
    <w:rsid w:val="00D90A81"/>
    <w:rsid w:val="00D90BA4"/>
    <w:rsid w:val="00D90D5C"/>
    <w:rsid w:val="00D92171"/>
    <w:rsid w:val="00D924FB"/>
    <w:rsid w:val="00D9258B"/>
    <w:rsid w:val="00D92ABB"/>
    <w:rsid w:val="00D93DA8"/>
    <w:rsid w:val="00D93EFB"/>
    <w:rsid w:val="00D9466F"/>
    <w:rsid w:val="00D946BB"/>
    <w:rsid w:val="00D94994"/>
    <w:rsid w:val="00D9548A"/>
    <w:rsid w:val="00D961AA"/>
    <w:rsid w:val="00D96E22"/>
    <w:rsid w:val="00D97E91"/>
    <w:rsid w:val="00DA012E"/>
    <w:rsid w:val="00DA0184"/>
    <w:rsid w:val="00DA0C95"/>
    <w:rsid w:val="00DA1145"/>
    <w:rsid w:val="00DA1156"/>
    <w:rsid w:val="00DA1341"/>
    <w:rsid w:val="00DA1F58"/>
    <w:rsid w:val="00DA1FE3"/>
    <w:rsid w:val="00DA2A4D"/>
    <w:rsid w:val="00DA377E"/>
    <w:rsid w:val="00DA3E92"/>
    <w:rsid w:val="00DA42F4"/>
    <w:rsid w:val="00DA4613"/>
    <w:rsid w:val="00DA4A48"/>
    <w:rsid w:val="00DA4E65"/>
    <w:rsid w:val="00DA5747"/>
    <w:rsid w:val="00DA5979"/>
    <w:rsid w:val="00DA5D93"/>
    <w:rsid w:val="00DA61DA"/>
    <w:rsid w:val="00DA7EBD"/>
    <w:rsid w:val="00DA7FCF"/>
    <w:rsid w:val="00DB02F9"/>
    <w:rsid w:val="00DB03C2"/>
    <w:rsid w:val="00DB0B56"/>
    <w:rsid w:val="00DB1BFB"/>
    <w:rsid w:val="00DB1C47"/>
    <w:rsid w:val="00DB1D6D"/>
    <w:rsid w:val="00DB2463"/>
    <w:rsid w:val="00DB25BC"/>
    <w:rsid w:val="00DB2899"/>
    <w:rsid w:val="00DB28F2"/>
    <w:rsid w:val="00DB2ADA"/>
    <w:rsid w:val="00DB2C93"/>
    <w:rsid w:val="00DB2D62"/>
    <w:rsid w:val="00DB351F"/>
    <w:rsid w:val="00DB39A6"/>
    <w:rsid w:val="00DB3E7A"/>
    <w:rsid w:val="00DB3F72"/>
    <w:rsid w:val="00DB40DE"/>
    <w:rsid w:val="00DB67ED"/>
    <w:rsid w:val="00DB7799"/>
    <w:rsid w:val="00DC0FCA"/>
    <w:rsid w:val="00DC18C6"/>
    <w:rsid w:val="00DC290A"/>
    <w:rsid w:val="00DC315E"/>
    <w:rsid w:val="00DC37DB"/>
    <w:rsid w:val="00DC3BA1"/>
    <w:rsid w:val="00DC3C66"/>
    <w:rsid w:val="00DC3CB6"/>
    <w:rsid w:val="00DC3DAF"/>
    <w:rsid w:val="00DC4C4A"/>
    <w:rsid w:val="00DC5037"/>
    <w:rsid w:val="00DC54E7"/>
    <w:rsid w:val="00DC5DB4"/>
    <w:rsid w:val="00DC63AE"/>
    <w:rsid w:val="00DC6C03"/>
    <w:rsid w:val="00DC6F64"/>
    <w:rsid w:val="00DC7FA7"/>
    <w:rsid w:val="00DD05A5"/>
    <w:rsid w:val="00DD07CD"/>
    <w:rsid w:val="00DD0DA5"/>
    <w:rsid w:val="00DD35F8"/>
    <w:rsid w:val="00DD4F0B"/>
    <w:rsid w:val="00DD5591"/>
    <w:rsid w:val="00DD6D12"/>
    <w:rsid w:val="00DD7484"/>
    <w:rsid w:val="00DE097F"/>
    <w:rsid w:val="00DE1174"/>
    <w:rsid w:val="00DE11A7"/>
    <w:rsid w:val="00DE1803"/>
    <w:rsid w:val="00DE2478"/>
    <w:rsid w:val="00DE2714"/>
    <w:rsid w:val="00DE2D3F"/>
    <w:rsid w:val="00DE2DEE"/>
    <w:rsid w:val="00DE361E"/>
    <w:rsid w:val="00DE40D7"/>
    <w:rsid w:val="00DE4A70"/>
    <w:rsid w:val="00DE59B8"/>
    <w:rsid w:val="00DE5FAA"/>
    <w:rsid w:val="00DE6428"/>
    <w:rsid w:val="00DE7A80"/>
    <w:rsid w:val="00DF02DA"/>
    <w:rsid w:val="00DF078D"/>
    <w:rsid w:val="00DF0B72"/>
    <w:rsid w:val="00DF11BE"/>
    <w:rsid w:val="00DF1B02"/>
    <w:rsid w:val="00DF2022"/>
    <w:rsid w:val="00DF25FE"/>
    <w:rsid w:val="00DF26F0"/>
    <w:rsid w:val="00DF2804"/>
    <w:rsid w:val="00DF3B3E"/>
    <w:rsid w:val="00DF3C5A"/>
    <w:rsid w:val="00DF4452"/>
    <w:rsid w:val="00DF45C9"/>
    <w:rsid w:val="00DF4D90"/>
    <w:rsid w:val="00DF5C5B"/>
    <w:rsid w:val="00DF7EC5"/>
    <w:rsid w:val="00DF7F05"/>
    <w:rsid w:val="00E0116E"/>
    <w:rsid w:val="00E01A80"/>
    <w:rsid w:val="00E0485A"/>
    <w:rsid w:val="00E050BD"/>
    <w:rsid w:val="00E0524E"/>
    <w:rsid w:val="00E068F3"/>
    <w:rsid w:val="00E075A1"/>
    <w:rsid w:val="00E079B1"/>
    <w:rsid w:val="00E07A36"/>
    <w:rsid w:val="00E07B4C"/>
    <w:rsid w:val="00E1021D"/>
    <w:rsid w:val="00E106D4"/>
    <w:rsid w:val="00E1104A"/>
    <w:rsid w:val="00E116BB"/>
    <w:rsid w:val="00E12BF7"/>
    <w:rsid w:val="00E131BE"/>
    <w:rsid w:val="00E14169"/>
    <w:rsid w:val="00E147E2"/>
    <w:rsid w:val="00E15ADC"/>
    <w:rsid w:val="00E173D8"/>
    <w:rsid w:val="00E17ED2"/>
    <w:rsid w:val="00E20B22"/>
    <w:rsid w:val="00E21051"/>
    <w:rsid w:val="00E21277"/>
    <w:rsid w:val="00E21A2F"/>
    <w:rsid w:val="00E21E7B"/>
    <w:rsid w:val="00E241E5"/>
    <w:rsid w:val="00E2719C"/>
    <w:rsid w:val="00E27A9F"/>
    <w:rsid w:val="00E3059D"/>
    <w:rsid w:val="00E31FC3"/>
    <w:rsid w:val="00E32632"/>
    <w:rsid w:val="00E32918"/>
    <w:rsid w:val="00E32FC7"/>
    <w:rsid w:val="00E35C6C"/>
    <w:rsid w:val="00E368B1"/>
    <w:rsid w:val="00E374D0"/>
    <w:rsid w:val="00E376E9"/>
    <w:rsid w:val="00E40388"/>
    <w:rsid w:val="00E408DA"/>
    <w:rsid w:val="00E41317"/>
    <w:rsid w:val="00E42EB6"/>
    <w:rsid w:val="00E4331E"/>
    <w:rsid w:val="00E4391B"/>
    <w:rsid w:val="00E43C70"/>
    <w:rsid w:val="00E43E35"/>
    <w:rsid w:val="00E44046"/>
    <w:rsid w:val="00E44EDE"/>
    <w:rsid w:val="00E4532E"/>
    <w:rsid w:val="00E458A2"/>
    <w:rsid w:val="00E45CA1"/>
    <w:rsid w:val="00E45DE4"/>
    <w:rsid w:val="00E46141"/>
    <w:rsid w:val="00E46E24"/>
    <w:rsid w:val="00E4718F"/>
    <w:rsid w:val="00E47C95"/>
    <w:rsid w:val="00E51855"/>
    <w:rsid w:val="00E51DD6"/>
    <w:rsid w:val="00E52A30"/>
    <w:rsid w:val="00E52EA7"/>
    <w:rsid w:val="00E53A11"/>
    <w:rsid w:val="00E53FA9"/>
    <w:rsid w:val="00E550D1"/>
    <w:rsid w:val="00E5533C"/>
    <w:rsid w:val="00E55C62"/>
    <w:rsid w:val="00E55C77"/>
    <w:rsid w:val="00E55CCD"/>
    <w:rsid w:val="00E5616E"/>
    <w:rsid w:val="00E5618D"/>
    <w:rsid w:val="00E563BB"/>
    <w:rsid w:val="00E56B05"/>
    <w:rsid w:val="00E56EA2"/>
    <w:rsid w:val="00E57619"/>
    <w:rsid w:val="00E603EA"/>
    <w:rsid w:val="00E60B8B"/>
    <w:rsid w:val="00E6153C"/>
    <w:rsid w:val="00E6166B"/>
    <w:rsid w:val="00E61930"/>
    <w:rsid w:val="00E61FD1"/>
    <w:rsid w:val="00E628E9"/>
    <w:rsid w:val="00E63A07"/>
    <w:rsid w:val="00E63FE3"/>
    <w:rsid w:val="00E64609"/>
    <w:rsid w:val="00E6512B"/>
    <w:rsid w:val="00E65A32"/>
    <w:rsid w:val="00E65B8B"/>
    <w:rsid w:val="00E6737A"/>
    <w:rsid w:val="00E67416"/>
    <w:rsid w:val="00E70666"/>
    <w:rsid w:val="00E70AF8"/>
    <w:rsid w:val="00E71341"/>
    <w:rsid w:val="00E71867"/>
    <w:rsid w:val="00E72148"/>
    <w:rsid w:val="00E73639"/>
    <w:rsid w:val="00E73956"/>
    <w:rsid w:val="00E74716"/>
    <w:rsid w:val="00E7471A"/>
    <w:rsid w:val="00E74D08"/>
    <w:rsid w:val="00E75593"/>
    <w:rsid w:val="00E75E3A"/>
    <w:rsid w:val="00E75E4A"/>
    <w:rsid w:val="00E75F16"/>
    <w:rsid w:val="00E7618B"/>
    <w:rsid w:val="00E762B3"/>
    <w:rsid w:val="00E762B8"/>
    <w:rsid w:val="00E76318"/>
    <w:rsid w:val="00E768DA"/>
    <w:rsid w:val="00E76BA6"/>
    <w:rsid w:val="00E773F4"/>
    <w:rsid w:val="00E778C2"/>
    <w:rsid w:val="00E80786"/>
    <w:rsid w:val="00E811FF"/>
    <w:rsid w:val="00E81E4F"/>
    <w:rsid w:val="00E81FC3"/>
    <w:rsid w:val="00E8210D"/>
    <w:rsid w:val="00E82307"/>
    <w:rsid w:val="00E8297E"/>
    <w:rsid w:val="00E82A2E"/>
    <w:rsid w:val="00E833E6"/>
    <w:rsid w:val="00E83DFD"/>
    <w:rsid w:val="00E841E9"/>
    <w:rsid w:val="00E84663"/>
    <w:rsid w:val="00E847FA"/>
    <w:rsid w:val="00E849F0"/>
    <w:rsid w:val="00E84C81"/>
    <w:rsid w:val="00E85337"/>
    <w:rsid w:val="00E85863"/>
    <w:rsid w:val="00E85888"/>
    <w:rsid w:val="00E85A2A"/>
    <w:rsid w:val="00E85F2A"/>
    <w:rsid w:val="00E86469"/>
    <w:rsid w:val="00E86687"/>
    <w:rsid w:val="00E86DAA"/>
    <w:rsid w:val="00E8776E"/>
    <w:rsid w:val="00E87B41"/>
    <w:rsid w:val="00E90C8E"/>
    <w:rsid w:val="00E92459"/>
    <w:rsid w:val="00E9260F"/>
    <w:rsid w:val="00E93FC4"/>
    <w:rsid w:val="00E9492E"/>
    <w:rsid w:val="00E9620B"/>
    <w:rsid w:val="00E96226"/>
    <w:rsid w:val="00E96686"/>
    <w:rsid w:val="00E977D9"/>
    <w:rsid w:val="00EA0C14"/>
    <w:rsid w:val="00EA18A6"/>
    <w:rsid w:val="00EA1B53"/>
    <w:rsid w:val="00EA233D"/>
    <w:rsid w:val="00EA2B4E"/>
    <w:rsid w:val="00EA2CB3"/>
    <w:rsid w:val="00EA2ED1"/>
    <w:rsid w:val="00EA3471"/>
    <w:rsid w:val="00EA3DCD"/>
    <w:rsid w:val="00EA425A"/>
    <w:rsid w:val="00EA436B"/>
    <w:rsid w:val="00EA488C"/>
    <w:rsid w:val="00EA4ACE"/>
    <w:rsid w:val="00EA5321"/>
    <w:rsid w:val="00EA5C32"/>
    <w:rsid w:val="00EA642F"/>
    <w:rsid w:val="00EA67EB"/>
    <w:rsid w:val="00EA6C3F"/>
    <w:rsid w:val="00EA6C74"/>
    <w:rsid w:val="00EA754F"/>
    <w:rsid w:val="00EB0A50"/>
    <w:rsid w:val="00EB140C"/>
    <w:rsid w:val="00EB1814"/>
    <w:rsid w:val="00EB1BCD"/>
    <w:rsid w:val="00EB42BC"/>
    <w:rsid w:val="00EB5E9C"/>
    <w:rsid w:val="00EB68A5"/>
    <w:rsid w:val="00EB7222"/>
    <w:rsid w:val="00EB7A2A"/>
    <w:rsid w:val="00EC0677"/>
    <w:rsid w:val="00EC0ADD"/>
    <w:rsid w:val="00EC11AD"/>
    <w:rsid w:val="00EC24E1"/>
    <w:rsid w:val="00EC27EB"/>
    <w:rsid w:val="00EC2937"/>
    <w:rsid w:val="00EC36C4"/>
    <w:rsid w:val="00EC375B"/>
    <w:rsid w:val="00EC4AED"/>
    <w:rsid w:val="00EC4B32"/>
    <w:rsid w:val="00EC581A"/>
    <w:rsid w:val="00EC7100"/>
    <w:rsid w:val="00EC72FA"/>
    <w:rsid w:val="00EC7392"/>
    <w:rsid w:val="00EC7B53"/>
    <w:rsid w:val="00ED0051"/>
    <w:rsid w:val="00ED1A55"/>
    <w:rsid w:val="00ED27B6"/>
    <w:rsid w:val="00ED2B20"/>
    <w:rsid w:val="00ED2CFE"/>
    <w:rsid w:val="00ED397C"/>
    <w:rsid w:val="00ED5006"/>
    <w:rsid w:val="00ED5C93"/>
    <w:rsid w:val="00ED63D8"/>
    <w:rsid w:val="00ED6435"/>
    <w:rsid w:val="00ED6774"/>
    <w:rsid w:val="00ED6D29"/>
    <w:rsid w:val="00ED70D4"/>
    <w:rsid w:val="00ED76C2"/>
    <w:rsid w:val="00ED7716"/>
    <w:rsid w:val="00ED7FD0"/>
    <w:rsid w:val="00EE16B8"/>
    <w:rsid w:val="00EE19B8"/>
    <w:rsid w:val="00EE1C09"/>
    <w:rsid w:val="00EE2231"/>
    <w:rsid w:val="00EE2D16"/>
    <w:rsid w:val="00EE35CC"/>
    <w:rsid w:val="00EE3A57"/>
    <w:rsid w:val="00EE46EA"/>
    <w:rsid w:val="00EE4F02"/>
    <w:rsid w:val="00EE5ADB"/>
    <w:rsid w:val="00EE5CA3"/>
    <w:rsid w:val="00EE6028"/>
    <w:rsid w:val="00EE6478"/>
    <w:rsid w:val="00EE7105"/>
    <w:rsid w:val="00EE7384"/>
    <w:rsid w:val="00EE7F03"/>
    <w:rsid w:val="00EF1DBA"/>
    <w:rsid w:val="00EF278D"/>
    <w:rsid w:val="00EF34E6"/>
    <w:rsid w:val="00EF363F"/>
    <w:rsid w:val="00EF399C"/>
    <w:rsid w:val="00EF430C"/>
    <w:rsid w:val="00EF46CB"/>
    <w:rsid w:val="00EF47C9"/>
    <w:rsid w:val="00EF4CCE"/>
    <w:rsid w:val="00EF53BB"/>
    <w:rsid w:val="00EF5446"/>
    <w:rsid w:val="00EF5B0D"/>
    <w:rsid w:val="00EF6E90"/>
    <w:rsid w:val="00EF6F25"/>
    <w:rsid w:val="00EF7402"/>
    <w:rsid w:val="00EF786A"/>
    <w:rsid w:val="00EF7DEE"/>
    <w:rsid w:val="00F00BDE"/>
    <w:rsid w:val="00F01968"/>
    <w:rsid w:val="00F01F2B"/>
    <w:rsid w:val="00F02425"/>
    <w:rsid w:val="00F024D0"/>
    <w:rsid w:val="00F02D84"/>
    <w:rsid w:val="00F04615"/>
    <w:rsid w:val="00F0512D"/>
    <w:rsid w:val="00F0534E"/>
    <w:rsid w:val="00F0537C"/>
    <w:rsid w:val="00F054E5"/>
    <w:rsid w:val="00F05F0F"/>
    <w:rsid w:val="00F061BF"/>
    <w:rsid w:val="00F101F3"/>
    <w:rsid w:val="00F104E6"/>
    <w:rsid w:val="00F10506"/>
    <w:rsid w:val="00F10ABB"/>
    <w:rsid w:val="00F1243B"/>
    <w:rsid w:val="00F13885"/>
    <w:rsid w:val="00F1389C"/>
    <w:rsid w:val="00F13AA3"/>
    <w:rsid w:val="00F1461F"/>
    <w:rsid w:val="00F1655C"/>
    <w:rsid w:val="00F16A81"/>
    <w:rsid w:val="00F16FEF"/>
    <w:rsid w:val="00F20410"/>
    <w:rsid w:val="00F20476"/>
    <w:rsid w:val="00F206C2"/>
    <w:rsid w:val="00F209E5"/>
    <w:rsid w:val="00F20D5B"/>
    <w:rsid w:val="00F21932"/>
    <w:rsid w:val="00F21ACE"/>
    <w:rsid w:val="00F221D3"/>
    <w:rsid w:val="00F222B5"/>
    <w:rsid w:val="00F22560"/>
    <w:rsid w:val="00F227DF"/>
    <w:rsid w:val="00F234C7"/>
    <w:rsid w:val="00F23915"/>
    <w:rsid w:val="00F23A60"/>
    <w:rsid w:val="00F2421B"/>
    <w:rsid w:val="00F24A87"/>
    <w:rsid w:val="00F24CE5"/>
    <w:rsid w:val="00F24DFA"/>
    <w:rsid w:val="00F253C6"/>
    <w:rsid w:val="00F253F9"/>
    <w:rsid w:val="00F255D2"/>
    <w:rsid w:val="00F25941"/>
    <w:rsid w:val="00F25C2F"/>
    <w:rsid w:val="00F266D2"/>
    <w:rsid w:val="00F268B5"/>
    <w:rsid w:val="00F26C20"/>
    <w:rsid w:val="00F27414"/>
    <w:rsid w:val="00F277F7"/>
    <w:rsid w:val="00F300AC"/>
    <w:rsid w:val="00F307FB"/>
    <w:rsid w:val="00F309A5"/>
    <w:rsid w:val="00F30BB1"/>
    <w:rsid w:val="00F314CF"/>
    <w:rsid w:val="00F31523"/>
    <w:rsid w:val="00F31D68"/>
    <w:rsid w:val="00F32891"/>
    <w:rsid w:val="00F33205"/>
    <w:rsid w:val="00F33273"/>
    <w:rsid w:val="00F3344B"/>
    <w:rsid w:val="00F335B7"/>
    <w:rsid w:val="00F33899"/>
    <w:rsid w:val="00F33A11"/>
    <w:rsid w:val="00F349D0"/>
    <w:rsid w:val="00F350A9"/>
    <w:rsid w:val="00F3524E"/>
    <w:rsid w:val="00F35292"/>
    <w:rsid w:val="00F35407"/>
    <w:rsid w:val="00F35A2F"/>
    <w:rsid w:val="00F364A5"/>
    <w:rsid w:val="00F36F89"/>
    <w:rsid w:val="00F373B5"/>
    <w:rsid w:val="00F37EB0"/>
    <w:rsid w:val="00F40416"/>
    <w:rsid w:val="00F4220C"/>
    <w:rsid w:val="00F42621"/>
    <w:rsid w:val="00F42905"/>
    <w:rsid w:val="00F42D3D"/>
    <w:rsid w:val="00F4333B"/>
    <w:rsid w:val="00F43E33"/>
    <w:rsid w:val="00F43E38"/>
    <w:rsid w:val="00F4425B"/>
    <w:rsid w:val="00F44B31"/>
    <w:rsid w:val="00F44F17"/>
    <w:rsid w:val="00F45059"/>
    <w:rsid w:val="00F4505B"/>
    <w:rsid w:val="00F46C01"/>
    <w:rsid w:val="00F47A06"/>
    <w:rsid w:val="00F47D00"/>
    <w:rsid w:val="00F50BF6"/>
    <w:rsid w:val="00F50F56"/>
    <w:rsid w:val="00F5121E"/>
    <w:rsid w:val="00F5210F"/>
    <w:rsid w:val="00F52698"/>
    <w:rsid w:val="00F52860"/>
    <w:rsid w:val="00F52904"/>
    <w:rsid w:val="00F53BB1"/>
    <w:rsid w:val="00F548A2"/>
    <w:rsid w:val="00F54AD0"/>
    <w:rsid w:val="00F54AD7"/>
    <w:rsid w:val="00F54F10"/>
    <w:rsid w:val="00F552E1"/>
    <w:rsid w:val="00F55B63"/>
    <w:rsid w:val="00F55E10"/>
    <w:rsid w:val="00F56ADB"/>
    <w:rsid w:val="00F62635"/>
    <w:rsid w:val="00F6270F"/>
    <w:rsid w:val="00F64049"/>
    <w:rsid w:val="00F653C7"/>
    <w:rsid w:val="00F661F6"/>
    <w:rsid w:val="00F66648"/>
    <w:rsid w:val="00F66A3D"/>
    <w:rsid w:val="00F66B9B"/>
    <w:rsid w:val="00F67AA7"/>
    <w:rsid w:val="00F67E9C"/>
    <w:rsid w:val="00F71898"/>
    <w:rsid w:val="00F71EF2"/>
    <w:rsid w:val="00F72025"/>
    <w:rsid w:val="00F722AB"/>
    <w:rsid w:val="00F72D3C"/>
    <w:rsid w:val="00F734A5"/>
    <w:rsid w:val="00F73DB9"/>
    <w:rsid w:val="00F74456"/>
    <w:rsid w:val="00F74ADA"/>
    <w:rsid w:val="00F74D14"/>
    <w:rsid w:val="00F751F6"/>
    <w:rsid w:val="00F75945"/>
    <w:rsid w:val="00F7634A"/>
    <w:rsid w:val="00F764DD"/>
    <w:rsid w:val="00F765DC"/>
    <w:rsid w:val="00F76798"/>
    <w:rsid w:val="00F813EE"/>
    <w:rsid w:val="00F81DC7"/>
    <w:rsid w:val="00F821BF"/>
    <w:rsid w:val="00F82A42"/>
    <w:rsid w:val="00F82F52"/>
    <w:rsid w:val="00F834DA"/>
    <w:rsid w:val="00F8476A"/>
    <w:rsid w:val="00F853E4"/>
    <w:rsid w:val="00F860BB"/>
    <w:rsid w:val="00F86EC9"/>
    <w:rsid w:val="00F872E6"/>
    <w:rsid w:val="00F8770F"/>
    <w:rsid w:val="00F877D4"/>
    <w:rsid w:val="00F87BC8"/>
    <w:rsid w:val="00F87D2F"/>
    <w:rsid w:val="00F9003D"/>
    <w:rsid w:val="00F90275"/>
    <w:rsid w:val="00F9035A"/>
    <w:rsid w:val="00F90371"/>
    <w:rsid w:val="00F905A1"/>
    <w:rsid w:val="00F9084E"/>
    <w:rsid w:val="00F922DE"/>
    <w:rsid w:val="00F923AF"/>
    <w:rsid w:val="00F92660"/>
    <w:rsid w:val="00F94237"/>
    <w:rsid w:val="00F944F9"/>
    <w:rsid w:val="00F95463"/>
    <w:rsid w:val="00F95B71"/>
    <w:rsid w:val="00F96865"/>
    <w:rsid w:val="00F96D4C"/>
    <w:rsid w:val="00F977C8"/>
    <w:rsid w:val="00F97E45"/>
    <w:rsid w:val="00FA03E2"/>
    <w:rsid w:val="00FA0515"/>
    <w:rsid w:val="00FA0ADA"/>
    <w:rsid w:val="00FA0DBB"/>
    <w:rsid w:val="00FA1A79"/>
    <w:rsid w:val="00FA1EF4"/>
    <w:rsid w:val="00FA1FC1"/>
    <w:rsid w:val="00FA23AB"/>
    <w:rsid w:val="00FA25D1"/>
    <w:rsid w:val="00FA31B6"/>
    <w:rsid w:val="00FA35BF"/>
    <w:rsid w:val="00FA3B4D"/>
    <w:rsid w:val="00FA5AA7"/>
    <w:rsid w:val="00FA63CB"/>
    <w:rsid w:val="00FA64BC"/>
    <w:rsid w:val="00FA696F"/>
    <w:rsid w:val="00FA70A1"/>
    <w:rsid w:val="00FB065E"/>
    <w:rsid w:val="00FB1298"/>
    <w:rsid w:val="00FB15E6"/>
    <w:rsid w:val="00FB254A"/>
    <w:rsid w:val="00FB2689"/>
    <w:rsid w:val="00FB3193"/>
    <w:rsid w:val="00FB3381"/>
    <w:rsid w:val="00FB3721"/>
    <w:rsid w:val="00FB3972"/>
    <w:rsid w:val="00FB3FC9"/>
    <w:rsid w:val="00FB45F4"/>
    <w:rsid w:val="00FB460A"/>
    <w:rsid w:val="00FB5029"/>
    <w:rsid w:val="00FB511E"/>
    <w:rsid w:val="00FB53D0"/>
    <w:rsid w:val="00FB5460"/>
    <w:rsid w:val="00FB5756"/>
    <w:rsid w:val="00FB59BE"/>
    <w:rsid w:val="00FB5A57"/>
    <w:rsid w:val="00FB7871"/>
    <w:rsid w:val="00FB7E07"/>
    <w:rsid w:val="00FC015D"/>
    <w:rsid w:val="00FC084C"/>
    <w:rsid w:val="00FC0946"/>
    <w:rsid w:val="00FC0E6D"/>
    <w:rsid w:val="00FC11D1"/>
    <w:rsid w:val="00FC1690"/>
    <w:rsid w:val="00FC2B43"/>
    <w:rsid w:val="00FC2D6C"/>
    <w:rsid w:val="00FC2F2C"/>
    <w:rsid w:val="00FC2FA6"/>
    <w:rsid w:val="00FC3521"/>
    <w:rsid w:val="00FC45E0"/>
    <w:rsid w:val="00FC4B15"/>
    <w:rsid w:val="00FC4F97"/>
    <w:rsid w:val="00FC5039"/>
    <w:rsid w:val="00FC540C"/>
    <w:rsid w:val="00FC545B"/>
    <w:rsid w:val="00FC54B8"/>
    <w:rsid w:val="00FC5998"/>
    <w:rsid w:val="00FC5B1E"/>
    <w:rsid w:val="00FC6156"/>
    <w:rsid w:val="00FC6581"/>
    <w:rsid w:val="00FC6F34"/>
    <w:rsid w:val="00FC7274"/>
    <w:rsid w:val="00FC77C2"/>
    <w:rsid w:val="00FC7963"/>
    <w:rsid w:val="00FC7CBC"/>
    <w:rsid w:val="00FD0D52"/>
    <w:rsid w:val="00FD257C"/>
    <w:rsid w:val="00FD2EA0"/>
    <w:rsid w:val="00FD35FE"/>
    <w:rsid w:val="00FD3E4F"/>
    <w:rsid w:val="00FD40F5"/>
    <w:rsid w:val="00FD4BD1"/>
    <w:rsid w:val="00FD4C4B"/>
    <w:rsid w:val="00FD4EB7"/>
    <w:rsid w:val="00FD5273"/>
    <w:rsid w:val="00FD6238"/>
    <w:rsid w:val="00FD6239"/>
    <w:rsid w:val="00FD63A1"/>
    <w:rsid w:val="00FD6659"/>
    <w:rsid w:val="00FD66EB"/>
    <w:rsid w:val="00FD6C83"/>
    <w:rsid w:val="00FD7BB9"/>
    <w:rsid w:val="00FE07E2"/>
    <w:rsid w:val="00FE0F0B"/>
    <w:rsid w:val="00FE1029"/>
    <w:rsid w:val="00FE1A1A"/>
    <w:rsid w:val="00FE1A24"/>
    <w:rsid w:val="00FE1D5B"/>
    <w:rsid w:val="00FE2548"/>
    <w:rsid w:val="00FE2E10"/>
    <w:rsid w:val="00FE36EE"/>
    <w:rsid w:val="00FE3BE4"/>
    <w:rsid w:val="00FE4560"/>
    <w:rsid w:val="00FE4A41"/>
    <w:rsid w:val="00FE5385"/>
    <w:rsid w:val="00FE5985"/>
    <w:rsid w:val="00FE66D1"/>
    <w:rsid w:val="00FE6AAC"/>
    <w:rsid w:val="00FE781D"/>
    <w:rsid w:val="00FE79BB"/>
    <w:rsid w:val="00FE7ADD"/>
    <w:rsid w:val="00FF0284"/>
    <w:rsid w:val="00FF0877"/>
    <w:rsid w:val="00FF0CD0"/>
    <w:rsid w:val="00FF11A0"/>
    <w:rsid w:val="00FF163A"/>
    <w:rsid w:val="00FF251F"/>
    <w:rsid w:val="00FF2FED"/>
    <w:rsid w:val="00FF386B"/>
    <w:rsid w:val="00FF399D"/>
    <w:rsid w:val="00FF40C4"/>
    <w:rsid w:val="00FF4499"/>
    <w:rsid w:val="00FF466B"/>
    <w:rsid w:val="00FF50C5"/>
    <w:rsid w:val="00FF571D"/>
    <w:rsid w:val="00FF5B70"/>
    <w:rsid w:val="00FF6201"/>
    <w:rsid w:val="00FF73FD"/>
    <w:rsid w:val="00FF76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BF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27"/>
    <w:pPr>
      <w:spacing w:after="120" w:line="240" w:lineRule="auto"/>
    </w:pPr>
    <w:rPr>
      <w:szCs w:val="24"/>
    </w:rPr>
  </w:style>
  <w:style w:type="paragraph" w:styleId="Heading1">
    <w:name w:val="heading 1"/>
    <w:basedOn w:val="Normal"/>
    <w:next w:val="Normal"/>
    <w:link w:val="Heading1Char"/>
    <w:uiPriority w:val="9"/>
    <w:qFormat/>
    <w:rsid w:val="00E4038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B4BAF"/>
    <w:pPr>
      <w:keepNext/>
      <w:keepLines/>
      <w:numPr>
        <w:ilvl w:val="1"/>
        <w:numId w:val="4"/>
      </w:numPr>
      <w:spacing w:before="36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3DBF"/>
    <w:pPr>
      <w:keepNext/>
      <w:keepLines/>
      <w:spacing w:before="24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unhideWhenUsed/>
    <w:qFormat/>
    <w:rsid w:val="00CF6E87"/>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4333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D0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B4BA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93DB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6E87"/>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723E68"/>
    <w:pPr>
      <w:ind w:left="720"/>
    </w:pPr>
    <w:rPr>
      <w:szCs w:val="22"/>
    </w:rPr>
  </w:style>
  <w:style w:type="numbering" w:customStyle="1" w:styleId="Headingswithcounters">
    <w:name w:val="Headings with counters"/>
    <w:uiPriority w:val="99"/>
    <w:rsid w:val="00E40388"/>
    <w:pPr>
      <w:numPr>
        <w:numId w:val="2"/>
      </w:numPr>
    </w:pPr>
  </w:style>
  <w:style w:type="character" w:styleId="Hyperlink">
    <w:name w:val="Hyperlink"/>
    <w:basedOn w:val="DefaultParagraphFont"/>
    <w:uiPriority w:val="99"/>
    <w:unhideWhenUsed/>
    <w:rsid w:val="00E5618D"/>
    <w:rPr>
      <w:color w:val="0563C1" w:themeColor="hyperlink"/>
      <w:u w:val="single"/>
    </w:rPr>
  </w:style>
  <w:style w:type="paragraph" w:styleId="FootnoteText">
    <w:name w:val="footnote text"/>
    <w:basedOn w:val="Normal"/>
    <w:link w:val="FootnoteTextChar"/>
    <w:uiPriority w:val="99"/>
    <w:unhideWhenUsed/>
    <w:rsid w:val="0062105B"/>
    <w:pPr>
      <w:spacing w:after="0"/>
    </w:pPr>
    <w:rPr>
      <w:sz w:val="20"/>
      <w:szCs w:val="20"/>
    </w:rPr>
  </w:style>
  <w:style w:type="character" w:customStyle="1" w:styleId="FootnoteTextChar">
    <w:name w:val="Footnote Text Char"/>
    <w:basedOn w:val="DefaultParagraphFont"/>
    <w:link w:val="FootnoteText"/>
    <w:uiPriority w:val="99"/>
    <w:rsid w:val="0062105B"/>
    <w:rPr>
      <w:sz w:val="20"/>
      <w:szCs w:val="20"/>
    </w:rPr>
  </w:style>
  <w:style w:type="character" w:styleId="FootnoteReference">
    <w:name w:val="footnote reference"/>
    <w:basedOn w:val="DefaultParagraphFont"/>
    <w:uiPriority w:val="99"/>
    <w:semiHidden/>
    <w:unhideWhenUsed/>
    <w:rsid w:val="0062105B"/>
    <w:rPr>
      <w:vertAlign w:val="superscript"/>
    </w:rPr>
  </w:style>
  <w:style w:type="character" w:customStyle="1" w:styleId="Heading5Char">
    <w:name w:val="Heading 5 Char"/>
    <w:basedOn w:val="DefaultParagraphFont"/>
    <w:link w:val="Heading5"/>
    <w:uiPriority w:val="9"/>
    <w:rsid w:val="00F4333B"/>
    <w:rPr>
      <w:rFonts w:asciiTheme="majorHAnsi" w:eastAsiaTheme="majorEastAsia" w:hAnsiTheme="majorHAnsi" w:cstheme="majorBidi"/>
      <w:color w:val="2E74B5" w:themeColor="accent1" w:themeShade="BF"/>
      <w:szCs w:val="24"/>
    </w:rPr>
  </w:style>
  <w:style w:type="paragraph" w:styleId="NormalWeb">
    <w:name w:val="Normal (Web)"/>
    <w:basedOn w:val="Normal"/>
    <w:uiPriority w:val="99"/>
    <w:semiHidden/>
    <w:unhideWhenUsed/>
    <w:rsid w:val="00F4333B"/>
    <w:pPr>
      <w:spacing w:before="100" w:beforeAutospacing="1" w:after="100" w:afterAutospacing="1"/>
    </w:pPr>
    <w:rPr>
      <w:rFonts w:ascii="Times New Roman" w:eastAsia="Times New Roman" w:hAnsi="Times New Roman" w:cs="Times New Roman"/>
      <w:sz w:val="24"/>
      <w:lang w:eastAsia="en-GB"/>
    </w:rPr>
  </w:style>
  <w:style w:type="character" w:styleId="FollowedHyperlink">
    <w:name w:val="FollowedHyperlink"/>
    <w:basedOn w:val="DefaultParagraphFont"/>
    <w:uiPriority w:val="99"/>
    <w:semiHidden/>
    <w:unhideWhenUsed/>
    <w:rsid w:val="00354F91"/>
    <w:rPr>
      <w:color w:val="954F72" w:themeColor="followedHyperlink"/>
      <w:u w:val="single"/>
    </w:rPr>
  </w:style>
  <w:style w:type="character" w:styleId="CommentReference">
    <w:name w:val="annotation reference"/>
    <w:basedOn w:val="DefaultParagraphFont"/>
    <w:uiPriority w:val="99"/>
    <w:semiHidden/>
    <w:unhideWhenUsed/>
    <w:rsid w:val="00586387"/>
    <w:rPr>
      <w:sz w:val="16"/>
      <w:szCs w:val="16"/>
    </w:rPr>
  </w:style>
  <w:style w:type="paragraph" w:styleId="CommentText">
    <w:name w:val="annotation text"/>
    <w:basedOn w:val="Normal"/>
    <w:link w:val="CommentTextChar"/>
    <w:uiPriority w:val="99"/>
    <w:semiHidden/>
    <w:unhideWhenUsed/>
    <w:rsid w:val="00586387"/>
    <w:rPr>
      <w:sz w:val="20"/>
      <w:szCs w:val="20"/>
    </w:rPr>
  </w:style>
  <w:style w:type="character" w:customStyle="1" w:styleId="CommentTextChar">
    <w:name w:val="Comment Text Char"/>
    <w:basedOn w:val="DefaultParagraphFont"/>
    <w:link w:val="CommentText"/>
    <w:uiPriority w:val="99"/>
    <w:semiHidden/>
    <w:rsid w:val="00586387"/>
    <w:rPr>
      <w:sz w:val="20"/>
      <w:szCs w:val="20"/>
    </w:rPr>
  </w:style>
  <w:style w:type="paragraph" w:styleId="CommentSubject">
    <w:name w:val="annotation subject"/>
    <w:basedOn w:val="CommentText"/>
    <w:next w:val="CommentText"/>
    <w:link w:val="CommentSubjectChar"/>
    <w:uiPriority w:val="99"/>
    <w:semiHidden/>
    <w:unhideWhenUsed/>
    <w:rsid w:val="00586387"/>
    <w:rPr>
      <w:b/>
      <w:bCs/>
    </w:rPr>
  </w:style>
  <w:style w:type="character" w:customStyle="1" w:styleId="CommentSubjectChar">
    <w:name w:val="Comment Subject Char"/>
    <w:basedOn w:val="CommentTextChar"/>
    <w:link w:val="CommentSubject"/>
    <w:uiPriority w:val="99"/>
    <w:semiHidden/>
    <w:rsid w:val="00586387"/>
    <w:rPr>
      <w:b/>
      <w:bCs/>
      <w:sz w:val="20"/>
      <w:szCs w:val="20"/>
    </w:rPr>
  </w:style>
  <w:style w:type="paragraph" w:styleId="BalloonText">
    <w:name w:val="Balloon Text"/>
    <w:basedOn w:val="Normal"/>
    <w:link w:val="BalloonTextChar"/>
    <w:uiPriority w:val="99"/>
    <w:semiHidden/>
    <w:unhideWhenUsed/>
    <w:rsid w:val="0058638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387"/>
    <w:rPr>
      <w:rFonts w:ascii="Segoe UI" w:hAnsi="Segoe UI" w:cs="Segoe UI"/>
      <w:sz w:val="18"/>
      <w:szCs w:val="18"/>
    </w:rPr>
  </w:style>
  <w:style w:type="paragraph" w:styleId="Caption">
    <w:name w:val="caption"/>
    <w:basedOn w:val="Normal"/>
    <w:next w:val="Normal"/>
    <w:uiPriority w:val="35"/>
    <w:unhideWhenUsed/>
    <w:qFormat/>
    <w:rsid w:val="004A13AF"/>
    <w:pPr>
      <w:spacing w:after="200"/>
      <w:jc w:val="center"/>
    </w:pPr>
    <w:rPr>
      <w:b/>
      <w:i/>
      <w:iCs/>
      <w:color w:val="44546A" w:themeColor="text2"/>
      <w:szCs w:val="18"/>
    </w:rPr>
  </w:style>
  <w:style w:type="paragraph" w:styleId="TOC1">
    <w:name w:val="toc 1"/>
    <w:basedOn w:val="Normal"/>
    <w:next w:val="Normal"/>
    <w:autoRedefine/>
    <w:uiPriority w:val="39"/>
    <w:unhideWhenUsed/>
    <w:rsid w:val="003E7A11"/>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3427"/>
    <w:pPr>
      <w:spacing w:after="120" w:line="240" w:lineRule="auto"/>
    </w:pPr>
    <w:rPr>
      <w:szCs w:val="24"/>
    </w:rPr>
  </w:style>
  <w:style w:type="paragraph" w:styleId="Heading1">
    <w:name w:val="heading 1"/>
    <w:basedOn w:val="Normal"/>
    <w:next w:val="Normal"/>
    <w:link w:val="Heading1Char"/>
    <w:uiPriority w:val="9"/>
    <w:qFormat/>
    <w:rsid w:val="00E4038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BB4BAF"/>
    <w:pPr>
      <w:keepNext/>
      <w:keepLines/>
      <w:numPr>
        <w:ilvl w:val="1"/>
        <w:numId w:val="4"/>
      </w:numPr>
      <w:spacing w:before="36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93DBF"/>
    <w:pPr>
      <w:keepNext/>
      <w:keepLines/>
      <w:spacing w:before="240"/>
      <w:outlineLvl w:val="2"/>
    </w:pPr>
    <w:rPr>
      <w:rFonts w:asciiTheme="majorHAnsi" w:eastAsiaTheme="majorEastAsia" w:hAnsiTheme="majorHAnsi" w:cstheme="majorBidi"/>
      <w:color w:val="1F4D78" w:themeColor="accent1" w:themeShade="7F"/>
      <w:sz w:val="24"/>
    </w:rPr>
  </w:style>
  <w:style w:type="paragraph" w:styleId="Heading4">
    <w:name w:val="heading 4"/>
    <w:basedOn w:val="Normal"/>
    <w:next w:val="Normal"/>
    <w:link w:val="Heading4Char"/>
    <w:uiPriority w:val="9"/>
    <w:unhideWhenUsed/>
    <w:qFormat/>
    <w:rsid w:val="00CF6E87"/>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4333B"/>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2D0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BB4BA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93DBF"/>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CF6E87"/>
    <w:rPr>
      <w:rFonts w:asciiTheme="majorHAnsi" w:eastAsiaTheme="majorEastAsia" w:hAnsiTheme="majorHAnsi" w:cstheme="majorBidi"/>
      <w:i/>
      <w:iCs/>
      <w:color w:val="2E74B5" w:themeColor="accent1" w:themeShade="BF"/>
    </w:rPr>
  </w:style>
  <w:style w:type="paragraph" w:styleId="ListParagraph">
    <w:name w:val="List Paragraph"/>
    <w:basedOn w:val="Normal"/>
    <w:uiPriority w:val="34"/>
    <w:qFormat/>
    <w:rsid w:val="00723E68"/>
    <w:pPr>
      <w:ind w:left="720"/>
    </w:pPr>
    <w:rPr>
      <w:szCs w:val="22"/>
    </w:rPr>
  </w:style>
  <w:style w:type="numbering" w:customStyle="1" w:styleId="Headingswithcounters">
    <w:name w:val="Headings with counters"/>
    <w:uiPriority w:val="99"/>
    <w:rsid w:val="00E40388"/>
    <w:pPr>
      <w:numPr>
        <w:numId w:val="2"/>
      </w:numPr>
    </w:pPr>
  </w:style>
  <w:style w:type="character" w:styleId="Hyperlink">
    <w:name w:val="Hyperlink"/>
    <w:basedOn w:val="DefaultParagraphFont"/>
    <w:uiPriority w:val="99"/>
    <w:unhideWhenUsed/>
    <w:rsid w:val="00E5618D"/>
    <w:rPr>
      <w:color w:val="0563C1" w:themeColor="hyperlink"/>
      <w:u w:val="single"/>
    </w:rPr>
  </w:style>
  <w:style w:type="paragraph" w:styleId="FootnoteText">
    <w:name w:val="footnote text"/>
    <w:basedOn w:val="Normal"/>
    <w:link w:val="FootnoteTextChar"/>
    <w:uiPriority w:val="99"/>
    <w:unhideWhenUsed/>
    <w:rsid w:val="0062105B"/>
    <w:pPr>
      <w:spacing w:after="0"/>
    </w:pPr>
    <w:rPr>
      <w:sz w:val="20"/>
      <w:szCs w:val="20"/>
    </w:rPr>
  </w:style>
  <w:style w:type="character" w:customStyle="1" w:styleId="FootnoteTextChar">
    <w:name w:val="Footnote Text Char"/>
    <w:basedOn w:val="DefaultParagraphFont"/>
    <w:link w:val="FootnoteText"/>
    <w:uiPriority w:val="99"/>
    <w:rsid w:val="0062105B"/>
    <w:rPr>
      <w:sz w:val="20"/>
      <w:szCs w:val="20"/>
    </w:rPr>
  </w:style>
  <w:style w:type="character" w:styleId="FootnoteReference">
    <w:name w:val="footnote reference"/>
    <w:basedOn w:val="DefaultParagraphFont"/>
    <w:uiPriority w:val="99"/>
    <w:semiHidden/>
    <w:unhideWhenUsed/>
    <w:rsid w:val="0062105B"/>
    <w:rPr>
      <w:vertAlign w:val="superscript"/>
    </w:rPr>
  </w:style>
  <w:style w:type="character" w:customStyle="1" w:styleId="Heading5Char">
    <w:name w:val="Heading 5 Char"/>
    <w:basedOn w:val="DefaultParagraphFont"/>
    <w:link w:val="Heading5"/>
    <w:uiPriority w:val="9"/>
    <w:rsid w:val="00F4333B"/>
    <w:rPr>
      <w:rFonts w:asciiTheme="majorHAnsi" w:eastAsiaTheme="majorEastAsia" w:hAnsiTheme="majorHAnsi" w:cstheme="majorBidi"/>
      <w:color w:val="2E74B5" w:themeColor="accent1" w:themeShade="BF"/>
      <w:szCs w:val="24"/>
    </w:rPr>
  </w:style>
  <w:style w:type="paragraph" w:styleId="NormalWeb">
    <w:name w:val="Normal (Web)"/>
    <w:basedOn w:val="Normal"/>
    <w:uiPriority w:val="99"/>
    <w:semiHidden/>
    <w:unhideWhenUsed/>
    <w:rsid w:val="00F4333B"/>
    <w:pPr>
      <w:spacing w:before="100" w:beforeAutospacing="1" w:after="100" w:afterAutospacing="1"/>
    </w:pPr>
    <w:rPr>
      <w:rFonts w:ascii="Times New Roman" w:eastAsia="Times New Roman" w:hAnsi="Times New Roman" w:cs="Times New Roman"/>
      <w:sz w:val="24"/>
      <w:lang w:eastAsia="en-GB"/>
    </w:rPr>
  </w:style>
  <w:style w:type="character" w:styleId="FollowedHyperlink">
    <w:name w:val="FollowedHyperlink"/>
    <w:basedOn w:val="DefaultParagraphFont"/>
    <w:uiPriority w:val="99"/>
    <w:semiHidden/>
    <w:unhideWhenUsed/>
    <w:rsid w:val="00354F91"/>
    <w:rPr>
      <w:color w:val="954F72" w:themeColor="followedHyperlink"/>
      <w:u w:val="single"/>
    </w:rPr>
  </w:style>
  <w:style w:type="character" w:styleId="CommentReference">
    <w:name w:val="annotation reference"/>
    <w:basedOn w:val="DefaultParagraphFont"/>
    <w:uiPriority w:val="99"/>
    <w:semiHidden/>
    <w:unhideWhenUsed/>
    <w:rsid w:val="00586387"/>
    <w:rPr>
      <w:sz w:val="16"/>
      <w:szCs w:val="16"/>
    </w:rPr>
  </w:style>
  <w:style w:type="paragraph" w:styleId="CommentText">
    <w:name w:val="annotation text"/>
    <w:basedOn w:val="Normal"/>
    <w:link w:val="CommentTextChar"/>
    <w:uiPriority w:val="99"/>
    <w:semiHidden/>
    <w:unhideWhenUsed/>
    <w:rsid w:val="00586387"/>
    <w:rPr>
      <w:sz w:val="20"/>
      <w:szCs w:val="20"/>
    </w:rPr>
  </w:style>
  <w:style w:type="character" w:customStyle="1" w:styleId="CommentTextChar">
    <w:name w:val="Comment Text Char"/>
    <w:basedOn w:val="DefaultParagraphFont"/>
    <w:link w:val="CommentText"/>
    <w:uiPriority w:val="99"/>
    <w:semiHidden/>
    <w:rsid w:val="00586387"/>
    <w:rPr>
      <w:sz w:val="20"/>
      <w:szCs w:val="20"/>
    </w:rPr>
  </w:style>
  <w:style w:type="paragraph" w:styleId="CommentSubject">
    <w:name w:val="annotation subject"/>
    <w:basedOn w:val="CommentText"/>
    <w:next w:val="CommentText"/>
    <w:link w:val="CommentSubjectChar"/>
    <w:uiPriority w:val="99"/>
    <w:semiHidden/>
    <w:unhideWhenUsed/>
    <w:rsid w:val="00586387"/>
    <w:rPr>
      <w:b/>
      <w:bCs/>
    </w:rPr>
  </w:style>
  <w:style w:type="character" w:customStyle="1" w:styleId="CommentSubjectChar">
    <w:name w:val="Comment Subject Char"/>
    <w:basedOn w:val="CommentTextChar"/>
    <w:link w:val="CommentSubject"/>
    <w:uiPriority w:val="99"/>
    <w:semiHidden/>
    <w:rsid w:val="00586387"/>
    <w:rPr>
      <w:b/>
      <w:bCs/>
      <w:sz w:val="20"/>
      <w:szCs w:val="20"/>
    </w:rPr>
  </w:style>
  <w:style w:type="paragraph" w:styleId="BalloonText">
    <w:name w:val="Balloon Text"/>
    <w:basedOn w:val="Normal"/>
    <w:link w:val="BalloonTextChar"/>
    <w:uiPriority w:val="99"/>
    <w:semiHidden/>
    <w:unhideWhenUsed/>
    <w:rsid w:val="0058638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6387"/>
    <w:rPr>
      <w:rFonts w:ascii="Segoe UI" w:hAnsi="Segoe UI" w:cs="Segoe UI"/>
      <w:sz w:val="18"/>
      <w:szCs w:val="18"/>
    </w:rPr>
  </w:style>
  <w:style w:type="paragraph" w:styleId="Caption">
    <w:name w:val="caption"/>
    <w:basedOn w:val="Normal"/>
    <w:next w:val="Normal"/>
    <w:uiPriority w:val="35"/>
    <w:unhideWhenUsed/>
    <w:qFormat/>
    <w:rsid w:val="004A13AF"/>
    <w:pPr>
      <w:spacing w:after="200"/>
      <w:jc w:val="center"/>
    </w:pPr>
    <w:rPr>
      <w:b/>
      <w:i/>
      <w:iCs/>
      <w:color w:val="44546A" w:themeColor="text2"/>
      <w:szCs w:val="18"/>
    </w:rPr>
  </w:style>
  <w:style w:type="paragraph" w:styleId="TOC1">
    <w:name w:val="toc 1"/>
    <w:basedOn w:val="Normal"/>
    <w:next w:val="Normal"/>
    <w:autoRedefine/>
    <w:uiPriority w:val="39"/>
    <w:unhideWhenUsed/>
    <w:rsid w:val="003E7A1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0317">
      <w:bodyDiv w:val="1"/>
      <w:marLeft w:val="0"/>
      <w:marRight w:val="0"/>
      <w:marTop w:val="0"/>
      <w:marBottom w:val="0"/>
      <w:divBdr>
        <w:top w:val="none" w:sz="0" w:space="0" w:color="auto"/>
        <w:left w:val="none" w:sz="0" w:space="0" w:color="auto"/>
        <w:bottom w:val="none" w:sz="0" w:space="0" w:color="auto"/>
        <w:right w:val="none" w:sz="0" w:space="0" w:color="auto"/>
      </w:divBdr>
    </w:div>
    <w:div w:id="15468905">
      <w:bodyDiv w:val="1"/>
      <w:marLeft w:val="0"/>
      <w:marRight w:val="0"/>
      <w:marTop w:val="0"/>
      <w:marBottom w:val="0"/>
      <w:divBdr>
        <w:top w:val="none" w:sz="0" w:space="0" w:color="auto"/>
        <w:left w:val="none" w:sz="0" w:space="0" w:color="auto"/>
        <w:bottom w:val="none" w:sz="0" w:space="0" w:color="auto"/>
        <w:right w:val="none" w:sz="0" w:space="0" w:color="auto"/>
      </w:divBdr>
    </w:div>
    <w:div w:id="78216675">
      <w:bodyDiv w:val="1"/>
      <w:marLeft w:val="0"/>
      <w:marRight w:val="0"/>
      <w:marTop w:val="0"/>
      <w:marBottom w:val="0"/>
      <w:divBdr>
        <w:top w:val="none" w:sz="0" w:space="0" w:color="auto"/>
        <w:left w:val="none" w:sz="0" w:space="0" w:color="auto"/>
        <w:bottom w:val="none" w:sz="0" w:space="0" w:color="auto"/>
        <w:right w:val="none" w:sz="0" w:space="0" w:color="auto"/>
      </w:divBdr>
    </w:div>
    <w:div w:id="190000582">
      <w:bodyDiv w:val="1"/>
      <w:marLeft w:val="0"/>
      <w:marRight w:val="0"/>
      <w:marTop w:val="0"/>
      <w:marBottom w:val="0"/>
      <w:divBdr>
        <w:top w:val="none" w:sz="0" w:space="0" w:color="auto"/>
        <w:left w:val="none" w:sz="0" w:space="0" w:color="auto"/>
        <w:bottom w:val="none" w:sz="0" w:space="0" w:color="auto"/>
        <w:right w:val="none" w:sz="0" w:space="0" w:color="auto"/>
      </w:divBdr>
    </w:div>
    <w:div w:id="206600664">
      <w:bodyDiv w:val="1"/>
      <w:marLeft w:val="0"/>
      <w:marRight w:val="0"/>
      <w:marTop w:val="0"/>
      <w:marBottom w:val="0"/>
      <w:divBdr>
        <w:top w:val="none" w:sz="0" w:space="0" w:color="auto"/>
        <w:left w:val="none" w:sz="0" w:space="0" w:color="auto"/>
        <w:bottom w:val="none" w:sz="0" w:space="0" w:color="auto"/>
        <w:right w:val="none" w:sz="0" w:space="0" w:color="auto"/>
      </w:divBdr>
    </w:div>
    <w:div w:id="519048936">
      <w:bodyDiv w:val="1"/>
      <w:marLeft w:val="0"/>
      <w:marRight w:val="0"/>
      <w:marTop w:val="0"/>
      <w:marBottom w:val="0"/>
      <w:divBdr>
        <w:top w:val="none" w:sz="0" w:space="0" w:color="auto"/>
        <w:left w:val="none" w:sz="0" w:space="0" w:color="auto"/>
        <w:bottom w:val="none" w:sz="0" w:space="0" w:color="auto"/>
        <w:right w:val="none" w:sz="0" w:space="0" w:color="auto"/>
      </w:divBdr>
    </w:div>
    <w:div w:id="571938331">
      <w:bodyDiv w:val="1"/>
      <w:marLeft w:val="0"/>
      <w:marRight w:val="0"/>
      <w:marTop w:val="0"/>
      <w:marBottom w:val="0"/>
      <w:divBdr>
        <w:top w:val="none" w:sz="0" w:space="0" w:color="auto"/>
        <w:left w:val="none" w:sz="0" w:space="0" w:color="auto"/>
        <w:bottom w:val="none" w:sz="0" w:space="0" w:color="auto"/>
        <w:right w:val="none" w:sz="0" w:space="0" w:color="auto"/>
      </w:divBdr>
    </w:div>
    <w:div w:id="640841169">
      <w:bodyDiv w:val="1"/>
      <w:marLeft w:val="0"/>
      <w:marRight w:val="0"/>
      <w:marTop w:val="0"/>
      <w:marBottom w:val="0"/>
      <w:divBdr>
        <w:top w:val="none" w:sz="0" w:space="0" w:color="auto"/>
        <w:left w:val="none" w:sz="0" w:space="0" w:color="auto"/>
        <w:bottom w:val="none" w:sz="0" w:space="0" w:color="auto"/>
        <w:right w:val="none" w:sz="0" w:space="0" w:color="auto"/>
      </w:divBdr>
    </w:div>
    <w:div w:id="658922646">
      <w:bodyDiv w:val="1"/>
      <w:marLeft w:val="0"/>
      <w:marRight w:val="0"/>
      <w:marTop w:val="0"/>
      <w:marBottom w:val="0"/>
      <w:divBdr>
        <w:top w:val="none" w:sz="0" w:space="0" w:color="auto"/>
        <w:left w:val="none" w:sz="0" w:space="0" w:color="auto"/>
        <w:bottom w:val="none" w:sz="0" w:space="0" w:color="auto"/>
        <w:right w:val="none" w:sz="0" w:space="0" w:color="auto"/>
      </w:divBdr>
    </w:div>
    <w:div w:id="797408142">
      <w:bodyDiv w:val="1"/>
      <w:marLeft w:val="0"/>
      <w:marRight w:val="0"/>
      <w:marTop w:val="0"/>
      <w:marBottom w:val="0"/>
      <w:divBdr>
        <w:top w:val="none" w:sz="0" w:space="0" w:color="auto"/>
        <w:left w:val="none" w:sz="0" w:space="0" w:color="auto"/>
        <w:bottom w:val="none" w:sz="0" w:space="0" w:color="auto"/>
        <w:right w:val="none" w:sz="0" w:space="0" w:color="auto"/>
      </w:divBdr>
    </w:div>
    <w:div w:id="827525797">
      <w:bodyDiv w:val="1"/>
      <w:marLeft w:val="0"/>
      <w:marRight w:val="0"/>
      <w:marTop w:val="0"/>
      <w:marBottom w:val="0"/>
      <w:divBdr>
        <w:top w:val="none" w:sz="0" w:space="0" w:color="auto"/>
        <w:left w:val="none" w:sz="0" w:space="0" w:color="auto"/>
        <w:bottom w:val="none" w:sz="0" w:space="0" w:color="auto"/>
        <w:right w:val="none" w:sz="0" w:space="0" w:color="auto"/>
      </w:divBdr>
      <w:divsChild>
        <w:div w:id="1335451352">
          <w:marLeft w:val="0"/>
          <w:marRight w:val="0"/>
          <w:marTop w:val="0"/>
          <w:marBottom w:val="0"/>
          <w:divBdr>
            <w:top w:val="none" w:sz="0" w:space="0" w:color="auto"/>
            <w:left w:val="none" w:sz="0" w:space="0" w:color="auto"/>
            <w:bottom w:val="none" w:sz="0" w:space="0" w:color="auto"/>
            <w:right w:val="none" w:sz="0" w:space="0" w:color="auto"/>
          </w:divBdr>
        </w:div>
      </w:divsChild>
    </w:div>
    <w:div w:id="860823787">
      <w:bodyDiv w:val="1"/>
      <w:marLeft w:val="0"/>
      <w:marRight w:val="0"/>
      <w:marTop w:val="0"/>
      <w:marBottom w:val="0"/>
      <w:divBdr>
        <w:top w:val="none" w:sz="0" w:space="0" w:color="auto"/>
        <w:left w:val="none" w:sz="0" w:space="0" w:color="auto"/>
        <w:bottom w:val="none" w:sz="0" w:space="0" w:color="auto"/>
        <w:right w:val="none" w:sz="0" w:space="0" w:color="auto"/>
      </w:divBdr>
    </w:div>
    <w:div w:id="861169031">
      <w:bodyDiv w:val="1"/>
      <w:marLeft w:val="0"/>
      <w:marRight w:val="0"/>
      <w:marTop w:val="0"/>
      <w:marBottom w:val="0"/>
      <w:divBdr>
        <w:top w:val="none" w:sz="0" w:space="0" w:color="auto"/>
        <w:left w:val="none" w:sz="0" w:space="0" w:color="auto"/>
        <w:bottom w:val="none" w:sz="0" w:space="0" w:color="auto"/>
        <w:right w:val="none" w:sz="0" w:space="0" w:color="auto"/>
      </w:divBdr>
    </w:div>
    <w:div w:id="878710106">
      <w:bodyDiv w:val="1"/>
      <w:marLeft w:val="0"/>
      <w:marRight w:val="0"/>
      <w:marTop w:val="0"/>
      <w:marBottom w:val="0"/>
      <w:divBdr>
        <w:top w:val="none" w:sz="0" w:space="0" w:color="auto"/>
        <w:left w:val="none" w:sz="0" w:space="0" w:color="auto"/>
        <w:bottom w:val="none" w:sz="0" w:space="0" w:color="auto"/>
        <w:right w:val="none" w:sz="0" w:space="0" w:color="auto"/>
      </w:divBdr>
    </w:div>
    <w:div w:id="931203921">
      <w:bodyDiv w:val="1"/>
      <w:marLeft w:val="0"/>
      <w:marRight w:val="0"/>
      <w:marTop w:val="0"/>
      <w:marBottom w:val="0"/>
      <w:divBdr>
        <w:top w:val="none" w:sz="0" w:space="0" w:color="auto"/>
        <w:left w:val="none" w:sz="0" w:space="0" w:color="auto"/>
        <w:bottom w:val="none" w:sz="0" w:space="0" w:color="auto"/>
        <w:right w:val="none" w:sz="0" w:space="0" w:color="auto"/>
      </w:divBdr>
    </w:div>
    <w:div w:id="1057053491">
      <w:bodyDiv w:val="1"/>
      <w:marLeft w:val="0"/>
      <w:marRight w:val="0"/>
      <w:marTop w:val="0"/>
      <w:marBottom w:val="0"/>
      <w:divBdr>
        <w:top w:val="none" w:sz="0" w:space="0" w:color="auto"/>
        <w:left w:val="none" w:sz="0" w:space="0" w:color="auto"/>
        <w:bottom w:val="none" w:sz="0" w:space="0" w:color="auto"/>
        <w:right w:val="none" w:sz="0" w:space="0" w:color="auto"/>
      </w:divBdr>
    </w:div>
    <w:div w:id="1347948363">
      <w:bodyDiv w:val="1"/>
      <w:marLeft w:val="0"/>
      <w:marRight w:val="0"/>
      <w:marTop w:val="0"/>
      <w:marBottom w:val="0"/>
      <w:divBdr>
        <w:top w:val="none" w:sz="0" w:space="0" w:color="auto"/>
        <w:left w:val="none" w:sz="0" w:space="0" w:color="auto"/>
        <w:bottom w:val="none" w:sz="0" w:space="0" w:color="auto"/>
        <w:right w:val="none" w:sz="0" w:space="0" w:color="auto"/>
      </w:divBdr>
    </w:div>
    <w:div w:id="1585608441">
      <w:bodyDiv w:val="1"/>
      <w:marLeft w:val="0"/>
      <w:marRight w:val="0"/>
      <w:marTop w:val="0"/>
      <w:marBottom w:val="0"/>
      <w:divBdr>
        <w:top w:val="none" w:sz="0" w:space="0" w:color="auto"/>
        <w:left w:val="none" w:sz="0" w:space="0" w:color="auto"/>
        <w:bottom w:val="none" w:sz="0" w:space="0" w:color="auto"/>
        <w:right w:val="none" w:sz="0" w:space="0" w:color="auto"/>
      </w:divBdr>
    </w:div>
    <w:div w:id="1697386405">
      <w:bodyDiv w:val="1"/>
      <w:marLeft w:val="0"/>
      <w:marRight w:val="0"/>
      <w:marTop w:val="0"/>
      <w:marBottom w:val="0"/>
      <w:divBdr>
        <w:top w:val="none" w:sz="0" w:space="0" w:color="auto"/>
        <w:left w:val="none" w:sz="0" w:space="0" w:color="auto"/>
        <w:bottom w:val="none" w:sz="0" w:space="0" w:color="auto"/>
        <w:right w:val="none" w:sz="0" w:space="0" w:color="auto"/>
      </w:divBdr>
    </w:div>
    <w:div w:id="1753313867">
      <w:bodyDiv w:val="1"/>
      <w:marLeft w:val="0"/>
      <w:marRight w:val="0"/>
      <w:marTop w:val="0"/>
      <w:marBottom w:val="0"/>
      <w:divBdr>
        <w:top w:val="none" w:sz="0" w:space="0" w:color="auto"/>
        <w:left w:val="none" w:sz="0" w:space="0" w:color="auto"/>
        <w:bottom w:val="none" w:sz="0" w:space="0" w:color="auto"/>
        <w:right w:val="none" w:sz="0" w:space="0" w:color="auto"/>
      </w:divBdr>
    </w:div>
    <w:div w:id="1844587877">
      <w:bodyDiv w:val="1"/>
      <w:marLeft w:val="0"/>
      <w:marRight w:val="0"/>
      <w:marTop w:val="0"/>
      <w:marBottom w:val="0"/>
      <w:divBdr>
        <w:top w:val="none" w:sz="0" w:space="0" w:color="auto"/>
        <w:left w:val="none" w:sz="0" w:space="0" w:color="auto"/>
        <w:bottom w:val="none" w:sz="0" w:space="0" w:color="auto"/>
        <w:right w:val="none" w:sz="0" w:space="0" w:color="auto"/>
      </w:divBdr>
    </w:div>
    <w:div w:id="1966307189">
      <w:bodyDiv w:val="1"/>
      <w:marLeft w:val="0"/>
      <w:marRight w:val="0"/>
      <w:marTop w:val="0"/>
      <w:marBottom w:val="0"/>
      <w:divBdr>
        <w:top w:val="none" w:sz="0" w:space="0" w:color="auto"/>
        <w:left w:val="none" w:sz="0" w:space="0" w:color="auto"/>
        <w:bottom w:val="none" w:sz="0" w:space="0" w:color="auto"/>
        <w:right w:val="none" w:sz="0" w:space="0" w:color="auto"/>
      </w:divBdr>
    </w:div>
    <w:div w:id="2029091672">
      <w:bodyDiv w:val="1"/>
      <w:marLeft w:val="0"/>
      <w:marRight w:val="0"/>
      <w:marTop w:val="0"/>
      <w:marBottom w:val="0"/>
      <w:divBdr>
        <w:top w:val="none" w:sz="0" w:space="0" w:color="auto"/>
        <w:left w:val="none" w:sz="0" w:space="0" w:color="auto"/>
        <w:bottom w:val="none" w:sz="0" w:space="0" w:color="auto"/>
        <w:right w:val="none" w:sz="0" w:space="0" w:color="auto"/>
      </w:divBdr>
    </w:div>
    <w:div w:id="2035422975">
      <w:bodyDiv w:val="1"/>
      <w:marLeft w:val="0"/>
      <w:marRight w:val="0"/>
      <w:marTop w:val="0"/>
      <w:marBottom w:val="0"/>
      <w:divBdr>
        <w:top w:val="none" w:sz="0" w:space="0" w:color="auto"/>
        <w:left w:val="none" w:sz="0" w:space="0" w:color="auto"/>
        <w:bottom w:val="none" w:sz="0" w:space="0" w:color="auto"/>
        <w:right w:val="none" w:sz="0" w:space="0" w:color="auto"/>
      </w:divBdr>
    </w:div>
    <w:div w:id="2046174676">
      <w:bodyDiv w:val="1"/>
      <w:marLeft w:val="0"/>
      <w:marRight w:val="0"/>
      <w:marTop w:val="0"/>
      <w:marBottom w:val="0"/>
      <w:divBdr>
        <w:top w:val="none" w:sz="0" w:space="0" w:color="auto"/>
        <w:left w:val="none" w:sz="0" w:space="0" w:color="auto"/>
        <w:bottom w:val="none" w:sz="0" w:space="0" w:color="auto"/>
        <w:right w:val="none" w:sz="0" w:space="0" w:color="auto"/>
      </w:divBdr>
    </w:div>
    <w:div w:id="2077587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esi.org.uk/blog/2014/sep/are-employmentinactivity-rates-near-records-paul-bivand-looks-figures-little-more-clo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www.ipsos-mori.com/Assets/Docs/Techniques/ESOMAR-28-Questions.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justice.gov.uk/downloads/statistics/mojstats/offending-employment-benefits-emerging-findings-tables.xls" TargetMode="Externa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rchive.org/web/20141113110233/http://cdn.yougov.com/cumulus_uploads/document/t3r5k565j5/ESOMAR_28.pdf" TargetMode="External"/><Relationship Id="rId5" Type="http://schemas.openxmlformats.org/officeDocument/2006/relationships/settings" Target="settings.xml"/><Relationship Id="rId15" Type="http://schemas.openxmlformats.org/officeDocument/2006/relationships/hyperlink" Target="https://www.gov.uk/government/uploads/system/uploads/attachment_data/file/175019/welfare-benefits-up-rating-bill-ia.pdf.pdf" TargetMode="External"/><Relationship Id="rId10" Type="http://schemas.openxmlformats.org/officeDocument/2006/relationships/hyperlink" Target="https://yougov.co.uk/about/panel-methodology/" TargetMode="Externa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yperlink" Target="http://www.europeansocialsurvey.org/data/" TargetMode="External"/><Relationship Id="rId14" Type="http://schemas.openxmlformats.org/officeDocument/2006/relationships/hyperlink" Target="http://www.iea.org.uk/sites/default/files/publications/files/Sharing%20the%20burden%20-%20how%20the%20older%20generation%20should%20suffer%20its%20share%20of%20the%20cuts.pdf"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ebarchive.nationalarchives.gov.uk/20110202195410/http://www.hmrc.gov.uk/wftctables/index.htm" TargetMode="External"/><Relationship Id="rId13" Type="http://schemas.openxmlformats.org/officeDocument/2006/relationships/hyperlink" Target="https://www.gov.uk/government/uploads/system/uploads/attachment_data/file/175019/welfare-benefits-up-rating-bill-ia.pdf.pdf" TargetMode="External"/><Relationship Id="rId18" Type="http://schemas.openxmlformats.org/officeDocument/2006/relationships/hyperlink" Target="http://ec.europa.eu/eurostat/web/lfs/data/database" TargetMode="External"/><Relationship Id="rId3" Type="http://schemas.openxmlformats.org/officeDocument/2006/relationships/hyperlink" Target="https://www.gov.uk/government/statistics/child-and-working-tax-credits-error-and-fraud-statistics-2012-to-2013" TargetMode="External"/><Relationship Id="rId21" Type="http://schemas.openxmlformats.org/officeDocument/2006/relationships/hyperlink" Target="http://www.entitledto.co.uk/help/Passported-benefits" TargetMode="External"/><Relationship Id="rId7" Type="http://schemas.openxmlformats.org/officeDocument/2006/relationships/hyperlink" Target="https://www.gov.uk/government/publications/child-and-working-tax-credits-statistics-finalised-annual-awards-2012-to-2013" TargetMode="External"/><Relationship Id="rId12" Type="http://schemas.openxmlformats.org/officeDocument/2006/relationships/hyperlink" Target="http://www.ifs.org.uk/bns/bn13.pdf" TargetMode="External"/><Relationship Id="rId17" Type="http://schemas.openxmlformats.org/officeDocument/2006/relationships/hyperlink" Target="https://www.gov.uk/government/statistics/benefit-expenditure-and-caseload-tables-2015" TargetMode="External"/><Relationship Id="rId2" Type="http://schemas.openxmlformats.org/officeDocument/2006/relationships/hyperlink" Target="http://webarchive.nationalarchives.gov.uk/20130422101152/http:/statistics.dwp.gov.uk/asd/asd2/index.php?page=fraud_error_arc" TargetMode="External"/><Relationship Id="rId16" Type="http://schemas.openxmlformats.org/officeDocument/2006/relationships/hyperlink" Target="http://www.ifs.org.uk/bns/bn130.pdf" TargetMode="External"/><Relationship Id="rId20" Type="http://schemas.openxmlformats.org/officeDocument/2006/relationships/hyperlink" Target="http://www.jrf.org.uk/blog/2014/03/better-off-working-than-benefits" TargetMode="External"/><Relationship Id="rId1" Type="http://schemas.openxmlformats.org/officeDocument/2006/relationships/hyperlink" Target="https://www.gov.uk/government/statistics/fraud-and-error-in-the-benefit-system-201213-estimates" TargetMode="External"/><Relationship Id="rId6" Type="http://schemas.openxmlformats.org/officeDocument/2006/relationships/hyperlink" Target="https://www.gov.uk/government/publications/benefit-expenditure-and-caseload-tables-2013" TargetMode="External"/><Relationship Id="rId11" Type="http://schemas.openxmlformats.org/officeDocument/2006/relationships/hyperlink" Target="http://www.iea.org.uk/sites/default/files/publications/files/Sharing%20the%20burden%20-%20how%20the%20older%20generation%20should%20suffer%20its%20share%20of%20the%20cuts.pdf" TargetMode="External"/><Relationship Id="rId5" Type="http://schemas.openxmlformats.org/officeDocument/2006/relationships/hyperlink" Target="http://www.theguardian.com/news/datablog/2012/dec/04/government-spending-department-2011-12" TargetMode="External"/><Relationship Id="rId15" Type="http://schemas.openxmlformats.org/officeDocument/2006/relationships/hyperlink" Target="https://www.gov.uk/government/uploads/system/uploads/attachment_data/file/138017/social-sector-housing-under-occupation-wr2011-ia.pdf.pdf" TargetMode="External"/><Relationship Id="rId10" Type="http://schemas.openxmlformats.org/officeDocument/2006/relationships/hyperlink" Target="http://www.ifs.org.uk/publications/6012" TargetMode="External"/><Relationship Id="rId19" Type="http://schemas.openxmlformats.org/officeDocument/2006/relationships/hyperlink" Target="http://www.ifs.org.uk/tools_and_resources/fiscal_facts" TargetMode="External"/><Relationship Id="rId4" Type="http://schemas.openxmlformats.org/officeDocument/2006/relationships/hyperlink" Target="http://webarchive.nationalarchives.gov.uk/20101128151454/http://www.archive.official-documents.co.uk/document/hmt/5101/5101-03t5.htm" TargetMode="External"/><Relationship Id="rId9" Type="http://schemas.openxmlformats.org/officeDocument/2006/relationships/hyperlink" Target="http://webarchive.nationalarchives.gov.uk/20110202195410/http://www.hmrc.gov.uk/dptctables/index.htm" TargetMode="External"/><Relationship Id="rId14" Type="http://schemas.openxmlformats.org/officeDocument/2006/relationships/hyperlink" Target="http://www.huffingtonpost.co.uk/peter-hain/why-labour-is-wrong-to-cut-winter-fuel-allowance_b_3377239.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40D65F-4C79-4E3F-95A3-BA41049741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17</Pages>
  <Words>6640</Words>
  <Characters>37851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Baumberg</dc:creator>
  <cp:keywords/>
  <dc:description/>
  <cp:lastModifiedBy>Ben Baumberg</cp:lastModifiedBy>
  <cp:revision>12</cp:revision>
  <dcterms:created xsi:type="dcterms:W3CDTF">2015-09-17T21:48:00Z</dcterms:created>
  <dcterms:modified xsi:type="dcterms:W3CDTF">2017-07-03T11:02:00Z</dcterms:modified>
</cp:coreProperties>
</file>